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0CD01" w14:textId="707A58BC" w:rsidR="006104A6" w:rsidRDefault="00242659" w:rsidP="00CE1C1E">
      <w:pPr>
        <w:jc w:val="both"/>
      </w:pPr>
      <w:r>
        <w:fldChar w:fldCharType="begin"/>
      </w:r>
      <w:r>
        <w:instrText>HYPERLINK "https://www.telectronika.com/herramientas/calculo-del-pire/"</w:instrText>
      </w:r>
      <w:r>
        <w:fldChar w:fldCharType="separate"/>
      </w:r>
      <w:r>
        <w:rPr>
          <w:rStyle w:val="Hipervnculo"/>
          <w:rFonts w:ascii="Cambria Math" w:hAnsi="Cambria Math" w:cs="Cambria Math"/>
        </w:rPr>
        <w:t>▷</w:t>
      </w:r>
      <w:r>
        <w:rPr>
          <w:rStyle w:val="Hipervnculo"/>
        </w:rPr>
        <w:t xml:space="preserve"> </w:t>
      </w:r>
      <w:r>
        <w:rPr>
          <w:rStyle w:val="Hipervnculo"/>
          <w:rFonts w:ascii="Aptos" w:hAnsi="Aptos" w:cs="Aptos"/>
        </w:rPr>
        <w:t>¿</w:t>
      </w:r>
      <w:r>
        <w:rPr>
          <w:rStyle w:val="Hipervnculo"/>
        </w:rPr>
        <w:t>Qu</w:t>
      </w:r>
      <w:r>
        <w:rPr>
          <w:rStyle w:val="Hipervnculo"/>
          <w:rFonts w:ascii="Aptos" w:hAnsi="Aptos" w:cs="Aptos"/>
        </w:rPr>
        <w:t>é</w:t>
      </w:r>
      <w:r>
        <w:rPr>
          <w:rStyle w:val="Hipervnculo"/>
        </w:rPr>
        <w:t xml:space="preserve"> es el PIRE (EIRP)? - Potencia Isotr</w:t>
      </w:r>
      <w:r>
        <w:rPr>
          <w:rStyle w:val="Hipervnculo"/>
          <w:rFonts w:ascii="Aptos" w:hAnsi="Aptos" w:cs="Aptos"/>
        </w:rPr>
        <w:t>ó</w:t>
      </w:r>
      <w:r>
        <w:rPr>
          <w:rStyle w:val="Hipervnculo"/>
        </w:rPr>
        <w:t>pica Radiada Equivalente</w:t>
      </w:r>
      <w:r>
        <w:fldChar w:fldCharType="end"/>
      </w:r>
      <w:r w:rsidR="007F4D2B">
        <w:t xml:space="preserve">   </w:t>
      </w:r>
      <w:r w:rsidR="008C6744">
        <w:t>CALCULADOR EN LINEA</w:t>
      </w:r>
    </w:p>
    <w:p w14:paraId="19DF3891" w14:textId="77777777" w:rsidR="00CE1C1E" w:rsidRPr="00CE1C1E" w:rsidRDefault="00CE1C1E" w:rsidP="00CE1C1E">
      <w:pPr>
        <w:shd w:val="clear" w:color="auto" w:fill="FFFFFF"/>
        <w:spacing w:line="720" w:lineRule="atLeast"/>
        <w:jc w:val="both"/>
        <w:textAlignment w:val="baseline"/>
        <w:outlineLvl w:val="0"/>
        <w:rPr>
          <w:rFonts w:ascii="Roboto" w:eastAsia="Times New Roman" w:hAnsi="Roboto" w:cs="Times New Roman"/>
          <w:b/>
          <w:bCs/>
          <w:color w:val="EE0000"/>
          <w:kern w:val="36"/>
          <w:sz w:val="36"/>
          <w:szCs w:val="36"/>
          <w:lang w:eastAsia="es-ES"/>
          <w14:ligatures w14:val="none"/>
        </w:rPr>
      </w:pPr>
      <w:r w:rsidRPr="00CE1C1E">
        <w:rPr>
          <w:rFonts w:ascii="Roboto" w:eastAsia="Times New Roman" w:hAnsi="Roboto" w:cs="Times New Roman"/>
          <w:b/>
          <w:bCs/>
          <w:color w:val="EE0000"/>
          <w:kern w:val="36"/>
          <w:sz w:val="36"/>
          <w:szCs w:val="36"/>
          <w:lang w:eastAsia="es-ES"/>
          <w14:ligatures w14:val="none"/>
        </w:rPr>
        <w:t>PIRE (EIRP) y PRA (ERP): Cálculo y Conceptos</w:t>
      </w:r>
    </w:p>
    <w:tbl>
      <w:tblPr>
        <w:tblW w:w="6300" w:type="dxa"/>
        <w:jc w:val="center"/>
        <w:tblCellMar>
          <w:top w:w="15" w:type="dxa"/>
          <w:left w:w="15" w:type="dxa"/>
          <w:bottom w:w="15" w:type="dxa"/>
          <w:right w:w="15" w:type="dxa"/>
        </w:tblCellMar>
        <w:tblLook w:val="04A0" w:firstRow="1" w:lastRow="0" w:firstColumn="1" w:lastColumn="0" w:noHBand="0" w:noVBand="1"/>
      </w:tblPr>
      <w:tblGrid>
        <w:gridCol w:w="3740"/>
        <w:gridCol w:w="1055"/>
        <w:gridCol w:w="1505"/>
      </w:tblGrid>
      <w:tr w:rsidR="00CE1C1E" w:rsidRPr="00CE1C1E" w14:paraId="0AC38D9C" w14:textId="77777777" w:rsidTr="00CE1C1E">
        <w:trPr>
          <w:jc w:val="center"/>
        </w:trPr>
        <w:tc>
          <w:tcPr>
            <w:tcW w:w="5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2389D032" w14:textId="78E7BB80"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Potencia del </w:t>
            </w:r>
            <w:hyperlink r:id="rId5" w:history="1">
              <w:r w:rsidRPr="00CE1C1E">
                <w:rPr>
                  <w:rFonts w:ascii="Times New Roman" w:eastAsia="Times New Roman" w:hAnsi="Times New Roman" w:cs="Times New Roman"/>
                  <w:color w:val="820101"/>
                  <w:kern w:val="0"/>
                  <w:bdr w:val="none" w:sz="0" w:space="0" w:color="auto" w:frame="1"/>
                  <w:lang w:eastAsia="es-ES"/>
                  <w14:ligatures w14:val="none"/>
                </w:rPr>
                <w:t> </w:t>
              </w:r>
              <w:r w:rsidRPr="00CE1C1E">
                <w:rPr>
                  <w:rFonts w:ascii="inherit" w:eastAsia="Times New Roman" w:hAnsi="inherit" w:cs="Times New Roman"/>
                  <w:color w:val="820101"/>
                  <w:kern w:val="0"/>
                  <w:bdr w:val="none" w:sz="0" w:space="0" w:color="auto" w:frame="1"/>
                  <w:lang w:eastAsia="es-ES"/>
                  <w14:ligatures w14:val="none"/>
                </w:rPr>
                <w:t>Transmisor</w:t>
              </w:r>
            </w:hyperlink>
            <w:r w:rsidRPr="00CE1C1E">
              <w:rPr>
                <w:rFonts w:ascii="Times New Roman" w:eastAsia="Times New Roman" w:hAnsi="Times New Roman" w:cs="Times New Roman"/>
                <w:kern w:val="0"/>
                <w:lang w:eastAsia="es-ES"/>
                <w14:ligatures w14:val="none"/>
              </w:rPr>
              <w:t>:</w:t>
            </w:r>
            <w:r w:rsidR="007C0745">
              <w:rPr>
                <w:rFonts w:ascii="Times New Roman" w:eastAsia="Times New Roman" w:hAnsi="Times New Roman" w:cs="Times New Roman"/>
                <w:kern w:val="0"/>
                <w:lang w:eastAsia="es-ES"/>
                <w14:ligatures w14:val="none"/>
              </w:rPr>
              <w:t xml:space="preserve">      40</w:t>
            </w:r>
          </w:p>
        </w:tc>
        <w:tc>
          <w:tcPr>
            <w:tcW w:w="126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7904C682"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p>
        </w:tc>
        <w:tc>
          <w:tcPr>
            <w:tcW w:w="2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474059D8"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dBm</w:t>
            </w:r>
          </w:p>
        </w:tc>
      </w:tr>
      <w:tr w:rsidR="00CE1C1E" w:rsidRPr="00CE1C1E" w14:paraId="6BB8D2AB" w14:textId="77777777" w:rsidTr="00CE1C1E">
        <w:trPr>
          <w:jc w:val="center"/>
        </w:trPr>
        <w:tc>
          <w:tcPr>
            <w:tcW w:w="5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0B1C60DB" w14:textId="6D4AD3C8"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Perdidas del Cable:</w:t>
            </w:r>
            <w:r w:rsidR="007C0745">
              <w:rPr>
                <w:rFonts w:ascii="Times New Roman" w:eastAsia="Times New Roman" w:hAnsi="Times New Roman" w:cs="Times New Roman"/>
                <w:kern w:val="0"/>
                <w:lang w:eastAsia="es-ES"/>
                <w14:ligatures w14:val="none"/>
              </w:rPr>
              <w:t xml:space="preserve">                   1</w:t>
            </w:r>
          </w:p>
        </w:tc>
        <w:tc>
          <w:tcPr>
            <w:tcW w:w="126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5ABC7A76"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p>
        </w:tc>
        <w:tc>
          <w:tcPr>
            <w:tcW w:w="2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0BB2F6F5"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dB</w:t>
            </w:r>
          </w:p>
        </w:tc>
      </w:tr>
      <w:tr w:rsidR="00CE1C1E" w:rsidRPr="00CE1C1E" w14:paraId="21B8B615" w14:textId="77777777" w:rsidTr="00CE1C1E">
        <w:trPr>
          <w:jc w:val="center"/>
        </w:trPr>
        <w:tc>
          <w:tcPr>
            <w:tcW w:w="5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2C76D6C5" w14:textId="6CF7C905"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Ganancia de la </w:t>
            </w:r>
            <w:hyperlink r:id="rId6" w:history="1">
              <w:r w:rsidRPr="00CE1C1E">
                <w:rPr>
                  <w:rFonts w:ascii="Times New Roman" w:eastAsia="Times New Roman" w:hAnsi="Times New Roman" w:cs="Times New Roman"/>
                  <w:color w:val="820101"/>
                  <w:kern w:val="0"/>
                  <w:bdr w:val="none" w:sz="0" w:space="0" w:color="auto" w:frame="1"/>
                  <w:lang w:eastAsia="es-ES"/>
                  <w14:ligatures w14:val="none"/>
                </w:rPr>
                <w:t> </w:t>
              </w:r>
              <w:r w:rsidRPr="00CE1C1E">
                <w:rPr>
                  <w:rFonts w:ascii="inherit" w:eastAsia="Times New Roman" w:hAnsi="inherit" w:cs="Times New Roman"/>
                  <w:color w:val="820101"/>
                  <w:kern w:val="0"/>
                  <w:bdr w:val="none" w:sz="0" w:space="0" w:color="auto" w:frame="1"/>
                  <w:lang w:eastAsia="es-ES"/>
                  <w14:ligatures w14:val="none"/>
                </w:rPr>
                <w:t>Antena</w:t>
              </w:r>
            </w:hyperlink>
            <w:r w:rsidRPr="00CE1C1E">
              <w:rPr>
                <w:rFonts w:ascii="Times New Roman" w:eastAsia="Times New Roman" w:hAnsi="Times New Roman" w:cs="Times New Roman"/>
                <w:kern w:val="0"/>
                <w:lang w:eastAsia="es-ES"/>
                <w14:ligatures w14:val="none"/>
              </w:rPr>
              <w:t>:</w:t>
            </w:r>
            <w:r w:rsidR="007C0745">
              <w:rPr>
                <w:rFonts w:ascii="Times New Roman" w:eastAsia="Times New Roman" w:hAnsi="Times New Roman" w:cs="Times New Roman"/>
                <w:kern w:val="0"/>
                <w:lang w:eastAsia="es-ES"/>
                <w14:ligatures w14:val="none"/>
              </w:rPr>
              <w:t xml:space="preserve">          10</w:t>
            </w:r>
          </w:p>
        </w:tc>
        <w:tc>
          <w:tcPr>
            <w:tcW w:w="126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661A05BA"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p>
        </w:tc>
        <w:tc>
          <w:tcPr>
            <w:tcW w:w="2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0F5A9953"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dBi</w:t>
            </w:r>
          </w:p>
        </w:tc>
      </w:tr>
      <w:tr w:rsidR="00CE1C1E" w:rsidRPr="00CE1C1E" w14:paraId="15AF36BF" w14:textId="77777777" w:rsidTr="00CE1C1E">
        <w:trPr>
          <w:jc w:val="center"/>
        </w:trPr>
        <w:tc>
          <w:tcPr>
            <w:tcW w:w="5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462E0E8F"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EIRP (PIRE):</w:t>
            </w:r>
          </w:p>
        </w:tc>
        <w:tc>
          <w:tcPr>
            <w:tcW w:w="126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6FF15000"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49</w:t>
            </w:r>
          </w:p>
        </w:tc>
        <w:tc>
          <w:tcPr>
            <w:tcW w:w="2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1796F7DA"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dBm</w:t>
            </w:r>
          </w:p>
        </w:tc>
      </w:tr>
      <w:tr w:rsidR="00CE1C1E" w:rsidRPr="00CE1C1E" w14:paraId="7EE5C328" w14:textId="77777777" w:rsidTr="00CE1C1E">
        <w:trPr>
          <w:jc w:val="center"/>
        </w:trPr>
        <w:tc>
          <w:tcPr>
            <w:tcW w:w="5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7DD3FAF9"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ERP:</w:t>
            </w:r>
          </w:p>
        </w:tc>
        <w:tc>
          <w:tcPr>
            <w:tcW w:w="126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48502E7F"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46.85</w:t>
            </w:r>
          </w:p>
        </w:tc>
        <w:tc>
          <w:tcPr>
            <w:tcW w:w="2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4714AAB5"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r w:rsidRPr="00CE1C1E">
              <w:rPr>
                <w:rFonts w:ascii="Times New Roman" w:eastAsia="Times New Roman" w:hAnsi="Times New Roman" w:cs="Times New Roman"/>
                <w:kern w:val="0"/>
                <w:lang w:eastAsia="es-ES"/>
                <w14:ligatures w14:val="none"/>
              </w:rPr>
              <w:t>dBm</w:t>
            </w:r>
          </w:p>
        </w:tc>
      </w:tr>
      <w:tr w:rsidR="00CE1C1E" w:rsidRPr="00CE1C1E" w14:paraId="569F29EB" w14:textId="77777777" w:rsidTr="00CE1C1E">
        <w:trPr>
          <w:jc w:val="center"/>
        </w:trPr>
        <w:tc>
          <w:tcPr>
            <w:tcW w:w="510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4F7CDAD4" w14:textId="31B188B1" w:rsidR="007F4D2B" w:rsidRPr="00CE1C1E" w:rsidRDefault="007F4D2B" w:rsidP="007F4D2B">
            <w:pPr>
              <w:spacing w:after="0" w:line="240" w:lineRule="auto"/>
              <w:jc w:val="both"/>
              <w:rPr>
                <w:rFonts w:ascii="Times New Roman" w:eastAsia="Times New Roman" w:hAnsi="Times New Roman" w:cs="Times New Roman"/>
                <w:kern w:val="0"/>
                <w:lang w:eastAsia="es-ES"/>
                <w14:ligatures w14:val="none"/>
              </w:rPr>
            </w:pPr>
          </w:p>
        </w:tc>
        <w:tc>
          <w:tcPr>
            <w:tcW w:w="1260" w:type="dxa"/>
            <w:gridSpan w:val="2"/>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vAlign w:val="center"/>
            <w:hideMark/>
          </w:tcPr>
          <w:p w14:paraId="03E3D641" w14:textId="77777777" w:rsidR="00CE1C1E" w:rsidRPr="00CE1C1E" w:rsidRDefault="00CE1C1E" w:rsidP="00CE1C1E">
            <w:pPr>
              <w:spacing w:after="0" w:line="240" w:lineRule="auto"/>
              <w:jc w:val="both"/>
              <w:rPr>
                <w:rFonts w:ascii="Times New Roman" w:eastAsia="Times New Roman" w:hAnsi="Times New Roman" w:cs="Times New Roman"/>
                <w:kern w:val="0"/>
                <w:lang w:eastAsia="es-ES"/>
                <w14:ligatures w14:val="none"/>
              </w:rPr>
            </w:pPr>
          </w:p>
        </w:tc>
      </w:tr>
    </w:tbl>
    <w:p w14:paraId="3AC2F67A" w14:textId="77777777" w:rsidR="00CE1C1E" w:rsidRPr="00CE1C1E" w:rsidRDefault="00CE1C1E" w:rsidP="00CE1C1E">
      <w:pPr>
        <w:shd w:val="clear" w:color="auto" w:fill="FFFFFF"/>
        <w:spacing w:before="450" w:after="300" w:line="570" w:lineRule="atLeast"/>
        <w:jc w:val="both"/>
        <w:textAlignment w:val="baseline"/>
        <w:outlineLvl w:val="1"/>
        <w:rPr>
          <w:rFonts w:ascii="Roboto" w:eastAsia="Times New Roman" w:hAnsi="Roboto" w:cs="Times New Roman"/>
          <w:color w:val="111111"/>
          <w:kern w:val="0"/>
          <w:sz w:val="41"/>
          <w:szCs w:val="41"/>
          <w:lang w:eastAsia="es-ES"/>
          <w14:ligatures w14:val="none"/>
        </w:rPr>
      </w:pPr>
      <w:r w:rsidRPr="00CE1C1E">
        <w:rPr>
          <w:rFonts w:ascii="Roboto" w:eastAsia="Times New Roman" w:hAnsi="Roboto" w:cs="Times New Roman"/>
          <w:color w:val="111111"/>
          <w:kern w:val="0"/>
          <w:sz w:val="41"/>
          <w:szCs w:val="41"/>
          <w:lang w:eastAsia="es-ES"/>
          <w14:ligatures w14:val="none"/>
        </w:rPr>
        <w:t>Definición de PIRE (EIRP)</w:t>
      </w:r>
    </w:p>
    <w:p w14:paraId="6476810E" w14:textId="54CCCB9A" w:rsidR="00CE1C1E" w:rsidRPr="00CE1C1E" w:rsidRDefault="00CE1C1E" w:rsidP="00B30792">
      <w:pPr>
        <w:shd w:val="clear" w:color="auto" w:fill="FFFFFF"/>
        <w:spacing w:after="0" w:line="240" w:lineRule="auto"/>
        <w:ind w:firstLine="708"/>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 xml:space="preserve">La Potencia Isotrópica Radiada Equivalente (PIRE) o en inglés </w:t>
      </w:r>
      <w:proofErr w:type="spellStart"/>
      <w:r w:rsidRPr="00CE1C1E">
        <w:rPr>
          <w:rFonts w:ascii="Verdana" w:eastAsia="Times New Roman" w:hAnsi="Verdana" w:cs="Times New Roman"/>
          <w:color w:val="222222"/>
          <w:kern w:val="0"/>
          <w:sz w:val="23"/>
          <w:szCs w:val="23"/>
          <w:lang w:eastAsia="es-ES"/>
          <w14:ligatures w14:val="none"/>
        </w:rPr>
        <w:t>Effective</w:t>
      </w:r>
      <w:proofErr w:type="spellEnd"/>
      <w:r w:rsidRPr="00CE1C1E">
        <w:rPr>
          <w:rFonts w:ascii="Verdana" w:eastAsia="Times New Roman" w:hAnsi="Verdana" w:cs="Times New Roman"/>
          <w:color w:val="222222"/>
          <w:kern w:val="0"/>
          <w:sz w:val="23"/>
          <w:szCs w:val="23"/>
          <w:lang w:eastAsia="es-ES"/>
          <w14:ligatures w14:val="none"/>
        </w:rPr>
        <w:t xml:space="preserve"> </w:t>
      </w:r>
      <w:proofErr w:type="spellStart"/>
      <w:r w:rsidRPr="00CE1C1E">
        <w:rPr>
          <w:rFonts w:ascii="Verdana" w:eastAsia="Times New Roman" w:hAnsi="Verdana" w:cs="Times New Roman"/>
          <w:color w:val="222222"/>
          <w:kern w:val="0"/>
          <w:sz w:val="23"/>
          <w:szCs w:val="23"/>
          <w:lang w:eastAsia="es-ES"/>
          <w14:ligatures w14:val="none"/>
        </w:rPr>
        <w:t>Isotropic</w:t>
      </w:r>
      <w:proofErr w:type="spellEnd"/>
      <w:r w:rsidRPr="00CE1C1E">
        <w:rPr>
          <w:rFonts w:ascii="Verdana" w:eastAsia="Times New Roman" w:hAnsi="Verdana" w:cs="Times New Roman"/>
          <w:color w:val="222222"/>
          <w:kern w:val="0"/>
          <w:sz w:val="23"/>
          <w:szCs w:val="23"/>
          <w:lang w:eastAsia="es-ES"/>
          <w14:ligatures w14:val="none"/>
        </w:rPr>
        <w:t xml:space="preserve"> </w:t>
      </w:r>
      <w:proofErr w:type="spellStart"/>
      <w:r w:rsidRPr="00CE1C1E">
        <w:rPr>
          <w:rFonts w:ascii="Verdana" w:eastAsia="Times New Roman" w:hAnsi="Verdana" w:cs="Times New Roman"/>
          <w:color w:val="222222"/>
          <w:kern w:val="0"/>
          <w:sz w:val="23"/>
          <w:szCs w:val="23"/>
          <w:lang w:eastAsia="es-ES"/>
          <w14:ligatures w14:val="none"/>
        </w:rPr>
        <w:t>Radiated</w:t>
      </w:r>
      <w:proofErr w:type="spellEnd"/>
      <w:r w:rsidRPr="00CE1C1E">
        <w:rPr>
          <w:rFonts w:ascii="Verdana" w:eastAsia="Times New Roman" w:hAnsi="Verdana" w:cs="Times New Roman"/>
          <w:color w:val="222222"/>
          <w:kern w:val="0"/>
          <w:sz w:val="23"/>
          <w:szCs w:val="23"/>
          <w:lang w:eastAsia="es-ES"/>
          <w14:ligatures w14:val="none"/>
        </w:rPr>
        <w:t xml:space="preserve"> </w:t>
      </w:r>
      <w:proofErr w:type="spellStart"/>
      <w:r w:rsidRPr="00CE1C1E">
        <w:rPr>
          <w:rFonts w:ascii="Verdana" w:eastAsia="Times New Roman" w:hAnsi="Verdana" w:cs="Times New Roman"/>
          <w:color w:val="222222"/>
          <w:kern w:val="0"/>
          <w:sz w:val="23"/>
          <w:szCs w:val="23"/>
          <w:lang w:eastAsia="es-ES"/>
          <w14:ligatures w14:val="none"/>
        </w:rPr>
        <w:t>Power</w:t>
      </w:r>
      <w:proofErr w:type="spellEnd"/>
      <w:r w:rsidRPr="00CE1C1E">
        <w:rPr>
          <w:rFonts w:ascii="Verdana" w:eastAsia="Times New Roman" w:hAnsi="Verdana" w:cs="Times New Roman"/>
          <w:color w:val="222222"/>
          <w:kern w:val="0"/>
          <w:sz w:val="23"/>
          <w:szCs w:val="23"/>
          <w:lang w:eastAsia="es-ES"/>
          <w14:ligatures w14:val="none"/>
        </w:rPr>
        <w:t xml:space="preserve"> (EIRP), es la potencia efectiva emitida en el lóbulo principal de un</w:t>
      </w:r>
      <w:r w:rsidR="00E36216">
        <w:rPr>
          <w:rFonts w:ascii="Verdana" w:eastAsia="Times New Roman" w:hAnsi="Verdana" w:cs="Times New Roman"/>
          <w:color w:val="222222"/>
          <w:kern w:val="0"/>
          <w:sz w:val="23"/>
          <w:szCs w:val="23"/>
          <w:lang w:eastAsia="es-ES"/>
          <w14:ligatures w14:val="none"/>
        </w:rPr>
        <w:t>a antena</w:t>
      </w:r>
      <w:r w:rsidRPr="00CE1C1E">
        <w:rPr>
          <w:rFonts w:ascii="Verdana" w:eastAsia="Times New Roman" w:hAnsi="Verdana" w:cs="Times New Roman"/>
          <w:color w:val="222222"/>
          <w:kern w:val="0"/>
          <w:sz w:val="23"/>
          <w:szCs w:val="23"/>
          <w:lang w:eastAsia="es-ES"/>
          <w14:ligatures w14:val="none"/>
        </w:rPr>
        <w:t> transmisora relativa a un radiador </w:t>
      </w:r>
      <w:hyperlink r:id="rId7" w:anchor="331_Ganancia" w:history="1">
        <w:r w:rsidRPr="00CE1C1E">
          <w:rPr>
            <w:rFonts w:ascii="Verdana" w:eastAsia="Times New Roman" w:hAnsi="Verdana" w:cs="Times New Roman"/>
            <w:color w:val="820101"/>
            <w:kern w:val="0"/>
            <w:sz w:val="23"/>
            <w:szCs w:val="23"/>
            <w:lang w:eastAsia="es-ES"/>
            <w14:ligatures w14:val="none"/>
          </w:rPr>
          <w:t>isotrópico</w:t>
        </w:r>
      </w:hyperlink>
      <w:r w:rsidRPr="00CE1C1E">
        <w:rPr>
          <w:rFonts w:ascii="Verdana" w:eastAsia="Times New Roman" w:hAnsi="Verdana" w:cs="Times New Roman"/>
          <w:color w:val="222222"/>
          <w:kern w:val="0"/>
          <w:sz w:val="23"/>
          <w:szCs w:val="23"/>
          <w:lang w:eastAsia="es-ES"/>
          <w14:ligatures w14:val="none"/>
        </w:rPr>
        <w:t> que tiene 0</w:t>
      </w:r>
      <w:r w:rsidR="00E36216">
        <w:rPr>
          <w:rFonts w:ascii="Verdana" w:eastAsia="Times New Roman" w:hAnsi="Verdana" w:cs="Times New Roman"/>
          <w:color w:val="222222"/>
          <w:kern w:val="0"/>
          <w:sz w:val="23"/>
          <w:szCs w:val="23"/>
          <w:lang w:eastAsia="es-ES"/>
          <w14:ligatures w14:val="none"/>
        </w:rPr>
        <w:t xml:space="preserve"> </w:t>
      </w:r>
      <w:r w:rsidRPr="00CE1C1E">
        <w:rPr>
          <w:rFonts w:ascii="Verdana" w:eastAsia="Times New Roman" w:hAnsi="Verdana" w:cs="Times New Roman"/>
          <w:color w:val="222222"/>
          <w:kern w:val="0"/>
          <w:sz w:val="23"/>
          <w:szCs w:val="23"/>
          <w:lang w:eastAsia="es-ES"/>
          <w14:ligatures w14:val="none"/>
        </w:rPr>
        <w:t>dB de ganancia. Para efectos prácticos, el PIRE es igual a la suma de la ganancia de la antena (medido en dBi) más la potencia (medido en dBm) que ingresa a la antena (</w:t>
      </w:r>
      <w:proofErr w:type="spellStart"/>
      <w:r w:rsidRPr="00CE1C1E">
        <w:rPr>
          <w:rFonts w:ascii="Verdana" w:eastAsia="Times New Roman" w:hAnsi="Verdana" w:cs="Times New Roman"/>
          <w:color w:val="222222"/>
          <w:kern w:val="0"/>
          <w:sz w:val="23"/>
          <w:szCs w:val="23"/>
          <w:lang w:eastAsia="es-ES"/>
          <w14:ligatures w14:val="none"/>
        </w:rPr>
        <w:t>Lehpamer</w:t>
      </w:r>
      <w:proofErr w:type="spellEnd"/>
      <w:r w:rsidRPr="00CE1C1E">
        <w:rPr>
          <w:rFonts w:ascii="Verdana" w:eastAsia="Times New Roman" w:hAnsi="Verdana" w:cs="Times New Roman"/>
          <w:color w:val="222222"/>
          <w:kern w:val="0"/>
          <w:sz w:val="23"/>
          <w:szCs w:val="23"/>
          <w:lang w:eastAsia="es-ES"/>
          <w14:ligatures w14:val="none"/>
        </w:rPr>
        <w:t>, 2010). </w:t>
      </w:r>
    </w:p>
    <w:p w14:paraId="3141F504" w14:textId="77777777" w:rsidR="00CE1C1E" w:rsidRPr="00CE1C1E" w:rsidRDefault="00CE1C1E" w:rsidP="00CE1C1E">
      <w:pPr>
        <w:shd w:val="clear" w:color="auto" w:fill="FFFFFF"/>
        <w:spacing w:before="450" w:after="300" w:line="570" w:lineRule="atLeast"/>
        <w:jc w:val="both"/>
        <w:textAlignment w:val="baseline"/>
        <w:outlineLvl w:val="1"/>
        <w:rPr>
          <w:rFonts w:ascii="Roboto" w:eastAsia="Times New Roman" w:hAnsi="Roboto" w:cs="Times New Roman"/>
          <w:color w:val="111111"/>
          <w:kern w:val="0"/>
          <w:sz w:val="41"/>
          <w:szCs w:val="41"/>
          <w:lang w:eastAsia="es-ES"/>
          <w14:ligatures w14:val="none"/>
        </w:rPr>
      </w:pPr>
      <w:r w:rsidRPr="00CE1C1E">
        <w:rPr>
          <w:rFonts w:ascii="Roboto" w:eastAsia="Times New Roman" w:hAnsi="Roboto" w:cs="Times New Roman"/>
          <w:color w:val="111111"/>
          <w:kern w:val="0"/>
          <w:sz w:val="41"/>
          <w:szCs w:val="41"/>
          <w:lang w:eastAsia="es-ES"/>
          <w14:ligatures w14:val="none"/>
        </w:rPr>
        <w:t>Definición de PRA (ERP)</w:t>
      </w:r>
    </w:p>
    <w:p w14:paraId="4A6168C1" w14:textId="77777777" w:rsidR="00CE1C1E" w:rsidRPr="00CE1C1E" w:rsidRDefault="00CE1C1E" w:rsidP="00B30792">
      <w:pPr>
        <w:shd w:val="clear" w:color="auto" w:fill="FFFFFF"/>
        <w:spacing w:after="390" w:line="240" w:lineRule="auto"/>
        <w:ind w:firstLine="708"/>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 xml:space="preserve">La Potencia Radiada Aparente (PRA) o en inglés </w:t>
      </w:r>
      <w:proofErr w:type="spellStart"/>
      <w:r w:rsidRPr="00CE1C1E">
        <w:rPr>
          <w:rFonts w:ascii="Verdana" w:eastAsia="Times New Roman" w:hAnsi="Verdana" w:cs="Times New Roman"/>
          <w:color w:val="222222"/>
          <w:kern w:val="0"/>
          <w:sz w:val="23"/>
          <w:szCs w:val="23"/>
          <w:lang w:eastAsia="es-ES"/>
          <w14:ligatures w14:val="none"/>
        </w:rPr>
        <w:t>Effective</w:t>
      </w:r>
      <w:proofErr w:type="spellEnd"/>
      <w:r w:rsidRPr="00CE1C1E">
        <w:rPr>
          <w:rFonts w:ascii="Verdana" w:eastAsia="Times New Roman" w:hAnsi="Verdana" w:cs="Times New Roman"/>
          <w:color w:val="222222"/>
          <w:kern w:val="0"/>
          <w:sz w:val="23"/>
          <w:szCs w:val="23"/>
          <w:lang w:eastAsia="es-ES"/>
          <w14:ligatures w14:val="none"/>
        </w:rPr>
        <w:t xml:space="preserve"> </w:t>
      </w:r>
      <w:proofErr w:type="spellStart"/>
      <w:r w:rsidRPr="00CE1C1E">
        <w:rPr>
          <w:rFonts w:ascii="Verdana" w:eastAsia="Times New Roman" w:hAnsi="Verdana" w:cs="Times New Roman"/>
          <w:color w:val="222222"/>
          <w:kern w:val="0"/>
          <w:sz w:val="23"/>
          <w:szCs w:val="23"/>
          <w:lang w:eastAsia="es-ES"/>
          <w14:ligatures w14:val="none"/>
        </w:rPr>
        <w:t>Radiated</w:t>
      </w:r>
      <w:proofErr w:type="spellEnd"/>
      <w:r w:rsidRPr="00CE1C1E">
        <w:rPr>
          <w:rFonts w:ascii="Verdana" w:eastAsia="Times New Roman" w:hAnsi="Verdana" w:cs="Times New Roman"/>
          <w:color w:val="222222"/>
          <w:kern w:val="0"/>
          <w:sz w:val="23"/>
          <w:szCs w:val="23"/>
          <w:lang w:eastAsia="es-ES"/>
          <w14:ligatures w14:val="none"/>
        </w:rPr>
        <w:t xml:space="preserve"> </w:t>
      </w:r>
      <w:proofErr w:type="spellStart"/>
      <w:r w:rsidRPr="00CE1C1E">
        <w:rPr>
          <w:rFonts w:ascii="Verdana" w:eastAsia="Times New Roman" w:hAnsi="Verdana" w:cs="Times New Roman"/>
          <w:color w:val="222222"/>
          <w:kern w:val="0"/>
          <w:sz w:val="23"/>
          <w:szCs w:val="23"/>
          <w:lang w:eastAsia="es-ES"/>
          <w14:ligatures w14:val="none"/>
        </w:rPr>
        <w:t>Power</w:t>
      </w:r>
      <w:proofErr w:type="spellEnd"/>
      <w:r w:rsidRPr="00CE1C1E">
        <w:rPr>
          <w:rFonts w:ascii="Verdana" w:eastAsia="Times New Roman" w:hAnsi="Verdana" w:cs="Times New Roman"/>
          <w:color w:val="222222"/>
          <w:kern w:val="0"/>
          <w:sz w:val="23"/>
          <w:szCs w:val="23"/>
          <w:lang w:eastAsia="es-ES"/>
          <w14:ligatures w14:val="none"/>
        </w:rPr>
        <w:t xml:space="preserve"> (ERP), es la potencia efectiva emitida en el lóbulo principal de una antena transmisora relativa a la directividad máxima de una antena dipolo de media onda. Para efectos prácticos es la ganancia de la antena (medido en </w:t>
      </w:r>
      <w:proofErr w:type="spellStart"/>
      <w:r w:rsidRPr="00CE1C1E">
        <w:rPr>
          <w:rFonts w:ascii="Verdana" w:eastAsia="Times New Roman" w:hAnsi="Verdana" w:cs="Times New Roman"/>
          <w:color w:val="222222"/>
          <w:kern w:val="0"/>
          <w:sz w:val="23"/>
          <w:szCs w:val="23"/>
          <w:lang w:eastAsia="es-ES"/>
          <w14:ligatures w14:val="none"/>
        </w:rPr>
        <w:t>dBd</w:t>
      </w:r>
      <w:proofErr w:type="spellEnd"/>
      <w:r w:rsidRPr="00CE1C1E">
        <w:rPr>
          <w:rFonts w:ascii="Verdana" w:eastAsia="Times New Roman" w:hAnsi="Verdana" w:cs="Times New Roman"/>
          <w:color w:val="222222"/>
          <w:kern w:val="0"/>
          <w:sz w:val="23"/>
          <w:szCs w:val="23"/>
          <w:lang w:eastAsia="es-ES"/>
          <w14:ligatures w14:val="none"/>
        </w:rPr>
        <w:t>) más la potencia (medido en dBm) que ingresa a la antena (IEEE, 2000)</w:t>
      </w:r>
    </w:p>
    <w:p w14:paraId="15FC86D6" w14:textId="77777777" w:rsidR="00CE1C1E" w:rsidRPr="00CE1C1E" w:rsidRDefault="00CE1C1E" w:rsidP="00CE1C1E">
      <w:pPr>
        <w:shd w:val="clear" w:color="auto" w:fill="FFFFFF"/>
        <w:spacing w:before="450" w:after="300" w:line="570" w:lineRule="atLeast"/>
        <w:jc w:val="both"/>
        <w:textAlignment w:val="baseline"/>
        <w:outlineLvl w:val="1"/>
        <w:rPr>
          <w:rFonts w:ascii="Roboto" w:eastAsia="Times New Roman" w:hAnsi="Roboto" w:cs="Times New Roman"/>
          <w:color w:val="111111"/>
          <w:kern w:val="0"/>
          <w:sz w:val="41"/>
          <w:szCs w:val="41"/>
          <w:lang w:eastAsia="es-ES"/>
          <w14:ligatures w14:val="none"/>
        </w:rPr>
      </w:pPr>
      <w:r w:rsidRPr="00CE1C1E">
        <w:rPr>
          <w:rFonts w:ascii="Roboto" w:eastAsia="Times New Roman" w:hAnsi="Roboto" w:cs="Times New Roman"/>
          <w:color w:val="111111"/>
          <w:kern w:val="0"/>
          <w:sz w:val="41"/>
          <w:szCs w:val="41"/>
          <w:lang w:eastAsia="es-ES"/>
          <w14:ligatures w14:val="none"/>
        </w:rPr>
        <w:t>Diferencias entre PIRE (EIRP) y PRA (ERP)</w:t>
      </w:r>
    </w:p>
    <w:p w14:paraId="13CD879A" w14:textId="3742BA38" w:rsidR="00CE1C1E" w:rsidRPr="00CE1C1E" w:rsidRDefault="00CE1C1E" w:rsidP="00B30792">
      <w:pPr>
        <w:shd w:val="clear" w:color="auto" w:fill="FFFFFF"/>
        <w:spacing w:after="390" w:line="240" w:lineRule="auto"/>
        <w:ind w:firstLine="708"/>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 xml:space="preserve">La principal diferencia entre ellos es </w:t>
      </w:r>
      <w:r w:rsidRPr="00CE1C1E">
        <w:rPr>
          <w:rFonts w:ascii="Verdana" w:eastAsia="Times New Roman" w:hAnsi="Verdana" w:cs="Times New Roman"/>
          <w:color w:val="222222"/>
          <w:kern w:val="0"/>
          <w:sz w:val="23"/>
          <w:szCs w:val="23"/>
          <w:lang w:eastAsia="es-ES"/>
          <w14:ligatures w14:val="none"/>
        </w:rPr>
        <w:t>que,</w:t>
      </w:r>
      <w:r w:rsidRPr="00CE1C1E">
        <w:rPr>
          <w:rFonts w:ascii="Verdana" w:eastAsia="Times New Roman" w:hAnsi="Verdana" w:cs="Times New Roman"/>
          <w:color w:val="222222"/>
          <w:kern w:val="0"/>
          <w:sz w:val="23"/>
          <w:szCs w:val="23"/>
          <w:lang w:eastAsia="es-ES"/>
          <w14:ligatures w14:val="none"/>
        </w:rPr>
        <w:t xml:space="preserve"> para la Potencia Radiada Aparente, </w:t>
      </w:r>
      <w:r w:rsidRPr="00CE1C1E">
        <w:rPr>
          <w:rFonts w:ascii="Verdana" w:eastAsia="Times New Roman" w:hAnsi="Verdana" w:cs="Times New Roman"/>
          <w:color w:val="222222"/>
          <w:kern w:val="0"/>
          <w:sz w:val="23"/>
          <w:szCs w:val="23"/>
          <w:highlight w:val="yellow"/>
          <w:lang w:eastAsia="es-ES"/>
          <w14:ligatures w14:val="none"/>
        </w:rPr>
        <w:t xml:space="preserve">la ganancia de la antena se expresa en relación con una antena dipolo de media onda ideal (ganancia lineal de 1.64 </w:t>
      </w:r>
      <w:proofErr w:type="spellStart"/>
      <w:r w:rsidRPr="00CE1C1E">
        <w:rPr>
          <w:rFonts w:ascii="Verdana" w:eastAsia="Times New Roman" w:hAnsi="Verdana" w:cs="Times New Roman"/>
          <w:color w:val="222222"/>
          <w:kern w:val="0"/>
          <w:sz w:val="23"/>
          <w:szCs w:val="23"/>
          <w:highlight w:val="yellow"/>
          <w:lang w:eastAsia="es-ES"/>
          <w14:ligatures w14:val="none"/>
        </w:rPr>
        <w:t>ó</w:t>
      </w:r>
      <w:proofErr w:type="spellEnd"/>
      <w:r w:rsidRPr="00CE1C1E">
        <w:rPr>
          <w:rFonts w:ascii="Verdana" w:eastAsia="Times New Roman" w:hAnsi="Verdana" w:cs="Times New Roman"/>
          <w:color w:val="222222"/>
          <w:kern w:val="0"/>
          <w:sz w:val="23"/>
          <w:szCs w:val="23"/>
          <w:highlight w:val="yellow"/>
          <w:lang w:eastAsia="es-ES"/>
          <w14:ligatures w14:val="none"/>
        </w:rPr>
        <w:t xml:space="preserve"> ganancia logarítmica 2.15dB)</w:t>
      </w:r>
      <w:r w:rsidRPr="00CE1C1E">
        <w:rPr>
          <w:rFonts w:ascii="Verdana" w:eastAsia="Times New Roman" w:hAnsi="Verdana" w:cs="Times New Roman"/>
          <w:color w:val="222222"/>
          <w:kern w:val="0"/>
          <w:sz w:val="23"/>
          <w:szCs w:val="23"/>
          <w:lang w:eastAsia="es-ES"/>
          <w14:ligatures w14:val="none"/>
        </w:rPr>
        <w:t xml:space="preserve">, mientras </w:t>
      </w:r>
      <w:r w:rsidRPr="00CE1C1E">
        <w:rPr>
          <w:rFonts w:ascii="Verdana" w:eastAsia="Times New Roman" w:hAnsi="Verdana" w:cs="Times New Roman"/>
          <w:color w:val="222222"/>
          <w:kern w:val="0"/>
          <w:sz w:val="23"/>
          <w:szCs w:val="23"/>
          <w:highlight w:val="yellow"/>
          <w:lang w:eastAsia="es-ES"/>
          <w14:ligatures w14:val="none"/>
        </w:rPr>
        <w:t xml:space="preserve">que con EIRP, la ganancia de la antena se expresa en relación con una antena isotrópica ideal (teórica con ganancia lineal de 1 </w:t>
      </w:r>
      <w:proofErr w:type="spellStart"/>
      <w:r w:rsidRPr="00CE1C1E">
        <w:rPr>
          <w:rFonts w:ascii="Verdana" w:eastAsia="Times New Roman" w:hAnsi="Verdana" w:cs="Times New Roman"/>
          <w:color w:val="222222"/>
          <w:kern w:val="0"/>
          <w:sz w:val="23"/>
          <w:szCs w:val="23"/>
          <w:highlight w:val="yellow"/>
          <w:lang w:eastAsia="es-ES"/>
          <w14:ligatures w14:val="none"/>
        </w:rPr>
        <w:t>ó</w:t>
      </w:r>
      <w:proofErr w:type="spellEnd"/>
      <w:r w:rsidRPr="00CE1C1E">
        <w:rPr>
          <w:rFonts w:ascii="Verdana" w:eastAsia="Times New Roman" w:hAnsi="Verdana" w:cs="Times New Roman"/>
          <w:color w:val="222222"/>
          <w:kern w:val="0"/>
          <w:sz w:val="23"/>
          <w:szCs w:val="23"/>
          <w:highlight w:val="yellow"/>
          <w:lang w:eastAsia="es-ES"/>
          <w14:ligatures w14:val="none"/>
        </w:rPr>
        <w:t xml:space="preserve"> ganancia logarítmica 0dB).</w:t>
      </w:r>
      <w:r w:rsidRPr="00CE1C1E">
        <w:rPr>
          <w:rFonts w:ascii="Verdana" w:eastAsia="Times New Roman" w:hAnsi="Verdana" w:cs="Times New Roman"/>
          <w:color w:val="222222"/>
          <w:kern w:val="0"/>
          <w:sz w:val="2"/>
          <w:szCs w:val="2"/>
          <w:highlight w:val="yellow"/>
          <w:lang w:eastAsia="es-ES"/>
          <w14:ligatures w14:val="none"/>
        </w:rPr>
        <w:t> cálculo</w:t>
      </w:r>
      <w:r w:rsidRPr="00CE1C1E">
        <w:rPr>
          <w:rFonts w:ascii="Verdana" w:eastAsia="Times New Roman" w:hAnsi="Verdana" w:cs="Times New Roman"/>
          <w:color w:val="222222"/>
          <w:kern w:val="0"/>
          <w:sz w:val="2"/>
          <w:szCs w:val="2"/>
          <w:lang w:eastAsia="es-ES"/>
          <w14:ligatures w14:val="none"/>
        </w:rPr>
        <w:t xml:space="preserve"> del PIR</w:t>
      </w:r>
    </w:p>
    <w:p w14:paraId="4ED7D9D7" w14:textId="77777777" w:rsidR="00CE1C1E" w:rsidRPr="00CE1C1E" w:rsidRDefault="00CE1C1E" w:rsidP="00CE1C1E">
      <w:pPr>
        <w:shd w:val="clear" w:color="auto" w:fill="FFFFFF"/>
        <w:spacing w:before="450" w:after="300" w:line="570" w:lineRule="atLeast"/>
        <w:jc w:val="both"/>
        <w:textAlignment w:val="baseline"/>
        <w:outlineLvl w:val="1"/>
        <w:rPr>
          <w:rFonts w:ascii="Roboto" w:eastAsia="Times New Roman" w:hAnsi="Roboto" w:cs="Times New Roman"/>
          <w:color w:val="111111"/>
          <w:kern w:val="0"/>
          <w:sz w:val="41"/>
          <w:szCs w:val="41"/>
          <w:lang w:eastAsia="es-ES"/>
          <w14:ligatures w14:val="none"/>
        </w:rPr>
      </w:pPr>
      <w:r w:rsidRPr="00CE1C1E">
        <w:rPr>
          <w:rFonts w:ascii="Roboto" w:eastAsia="Times New Roman" w:hAnsi="Roboto" w:cs="Times New Roman"/>
          <w:color w:val="111111"/>
          <w:kern w:val="0"/>
          <w:sz w:val="41"/>
          <w:szCs w:val="41"/>
          <w:lang w:eastAsia="es-ES"/>
          <w14:ligatures w14:val="none"/>
        </w:rPr>
        <w:t>Cálculo de PIRE (EIRP) y el ERP</w:t>
      </w:r>
    </w:p>
    <w:p w14:paraId="49CCDE1A"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Para el cálculo EIRP y ERP debemos en primer lugar expresarlos matemáticamente de la siguiente manera:</w:t>
      </w:r>
    </w:p>
    <w:p w14:paraId="537172D8"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lastRenderedPageBreak/>
        <w:drawing>
          <wp:inline distT="0" distB="0" distL="0" distR="0" wp14:anchorId="311EECDC" wp14:editId="0A7191BC">
            <wp:extent cx="1811655" cy="389255"/>
            <wp:effectExtent l="0" t="0" r="0" b="0"/>
            <wp:docPr id="10" name="Imagen 17" descr="eirp=p_{t}*g_{t}=\frac{(E*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rp=p_{t}*g_{t}=\frac{(E*d)^{2}}{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1655" cy="389255"/>
                    </a:xfrm>
                    <a:prstGeom prst="rect">
                      <a:avLst/>
                    </a:prstGeom>
                    <a:noFill/>
                    <a:ln>
                      <a:noFill/>
                    </a:ln>
                  </pic:spPr>
                </pic:pic>
              </a:graphicData>
            </a:graphic>
          </wp:inline>
        </w:drawing>
      </w:r>
    </w:p>
    <w:p w14:paraId="424FBBC9"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41F09CA8" wp14:editId="46B6BE2F">
            <wp:extent cx="1706245" cy="401955"/>
            <wp:effectExtent l="0" t="0" r="8255" b="0"/>
            <wp:docPr id="11" name="Imagen 16" descr="erp=\frac{eirp}{1.64}=\frac{(E*d)^{2}}{3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p=\frac{eirp}{1.64}=\frac{(E*d)^{2}}{30*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245" cy="401955"/>
                    </a:xfrm>
                    <a:prstGeom prst="rect">
                      <a:avLst/>
                    </a:prstGeom>
                    <a:noFill/>
                    <a:ln>
                      <a:noFill/>
                    </a:ln>
                  </pic:spPr>
                </pic:pic>
              </a:graphicData>
            </a:graphic>
          </wp:inline>
        </w:drawing>
      </w:r>
    </w:p>
    <w:p w14:paraId="07E3D667"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Donde:</w:t>
      </w:r>
    </w:p>
    <w:p w14:paraId="4AA4F2BA" w14:textId="77777777" w:rsidR="00CE1C1E" w:rsidRPr="00CE1C1E" w:rsidRDefault="00CE1C1E" w:rsidP="003B26D7">
      <w:pPr>
        <w:shd w:val="clear" w:color="auto" w:fill="FFFFFF"/>
        <w:spacing w:after="390" w:line="240" w:lineRule="auto"/>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pt = potencia de salida del transmisor en vatios,</w:t>
      </w:r>
      <w:r w:rsidRPr="00CE1C1E">
        <w:rPr>
          <w:rFonts w:ascii="Verdana" w:eastAsia="Times New Roman" w:hAnsi="Verdana" w:cs="Times New Roman"/>
          <w:color w:val="222222"/>
          <w:kern w:val="0"/>
          <w:sz w:val="23"/>
          <w:szCs w:val="23"/>
          <w:lang w:eastAsia="es-ES"/>
          <w14:ligatures w14:val="none"/>
        </w:rPr>
        <w:br/>
      </w:r>
      <w:proofErr w:type="spellStart"/>
      <w:r w:rsidRPr="00CE1C1E">
        <w:rPr>
          <w:rFonts w:ascii="Verdana" w:eastAsia="Times New Roman" w:hAnsi="Verdana" w:cs="Times New Roman"/>
          <w:color w:val="222222"/>
          <w:kern w:val="0"/>
          <w:sz w:val="23"/>
          <w:szCs w:val="23"/>
          <w:lang w:eastAsia="es-ES"/>
          <w14:ligatures w14:val="none"/>
        </w:rPr>
        <w:t>gt</w:t>
      </w:r>
      <w:proofErr w:type="spellEnd"/>
      <w:r w:rsidRPr="00CE1C1E">
        <w:rPr>
          <w:rFonts w:ascii="Verdana" w:eastAsia="Times New Roman" w:hAnsi="Verdana" w:cs="Times New Roman"/>
          <w:color w:val="222222"/>
          <w:kern w:val="0"/>
          <w:sz w:val="23"/>
          <w:szCs w:val="23"/>
          <w:lang w:eastAsia="es-ES"/>
          <w14:ligatures w14:val="none"/>
        </w:rPr>
        <w:t xml:space="preserve"> = ganancia numérica de la antena transmisora (sin unidades),</w:t>
      </w:r>
      <w:r w:rsidRPr="00CE1C1E">
        <w:rPr>
          <w:rFonts w:ascii="Verdana" w:eastAsia="Times New Roman" w:hAnsi="Verdana" w:cs="Times New Roman"/>
          <w:color w:val="222222"/>
          <w:kern w:val="0"/>
          <w:sz w:val="23"/>
          <w:szCs w:val="23"/>
          <w:lang w:eastAsia="es-ES"/>
          <w14:ligatures w14:val="none"/>
        </w:rPr>
        <w:br/>
        <w:t>E = intensidad del campo eléctrico en V/m,</w:t>
      </w:r>
      <w:r w:rsidRPr="00CE1C1E">
        <w:rPr>
          <w:rFonts w:ascii="Verdana" w:eastAsia="Times New Roman" w:hAnsi="Verdana" w:cs="Times New Roman"/>
          <w:color w:val="222222"/>
          <w:kern w:val="0"/>
          <w:sz w:val="23"/>
          <w:szCs w:val="23"/>
          <w:lang w:eastAsia="es-ES"/>
          <w14:ligatures w14:val="none"/>
        </w:rPr>
        <w:br/>
        <w:t>d = distancia de medición en metros (m),</w:t>
      </w:r>
      <w:r w:rsidRPr="00CE1C1E">
        <w:rPr>
          <w:rFonts w:ascii="Verdana" w:eastAsia="Times New Roman" w:hAnsi="Verdana" w:cs="Times New Roman"/>
          <w:color w:val="222222"/>
          <w:kern w:val="0"/>
          <w:sz w:val="23"/>
          <w:szCs w:val="23"/>
          <w:lang w:eastAsia="es-ES"/>
          <w14:ligatures w14:val="none"/>
        </w:rPr>
        <w:br/>
        <w:t>1.64 = ganancia lineal de una antena dipolo de media longitud de onda ideal.</w:t>
      </w:r>
    </w:p>
    <w:p w14:paraId="3500A416"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b/>
          <w:bCs/>
          <w:color w:val="222222"/>
          <w:kern w:val="0"/>
          <w:lang w:eastAsia="es-ES"/>
          <w14:ligatures w14:val="none"/>
        </w:rPr>
        <w:t>EIRP y ERP en términos logarítmicos</w:t>
      </w:r>
    </w:p>
    <w:p w14:paraId="74A3A3A6" w14:textId="77777777" w:rsidR="00CE1C1E" w:rsidRPr="00CE1C1E" w:rsidRDefault="00CE1C1E" w:rsidP="003B26D7">
      <w:pPr>
        <w:shd w:val="clear" w:color="auto" w:fill="FFFFFF"/>
        <w:spacing w:after="390" w:line="240" w:lineRule="auto"/>
        <w:ind w:firstLine="708"/>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 xml:space="preserve">Es común encontrar y expresar los valores de EIRP y ERP en términos logaritmos en vez de términos lineales, para este caso se usará las siguientes expresiones matemáticas para el </w:t>
      </w:r>
      <w:proofErr w:type="spellStart"/>
      <w:r w:rsidRPr="00CE1C1E">
        <w:rPr>
          <w:rFonts w:ascii="Verdana" w:eastAsia="Times New Roman" w:hAnsi="Verdana" w:cs="Times New Roman"/>
          <w:color w:val="222222"/>
          <w:kern w:val="0"/>
          <w:sz w:val="23"/>
          <w:szCs w:val="23"/>
          <w:lang w:eastAsia="es-ES"/>
          <w14:ligatures w14:val="none"/>
        </w:rPr>
        <w:t>calculo</w:t>
      </w:r>
      <w:proofErr w:type="spellEnd"/>
      <w:r w:rsidRPr="00CE1C1E">
        <w:rPr>
          <w:rFonts w:ascii="Verdana" w:eastAsia="Times New Roman" w:hAnsi="Verdana" w:cs="Times New Roman"/>
          <w:color w:val="222222"/>
          <w:kern w:val="0"/>
          <w:sz w:val="23"/>
          <w:szCs w:val="23"/>
          <w:lang w:eastAsia="es-ES"/>
          <w14:ligatures w14:val="none"/>
        </w:rPr>
        <w:t xml:space="preserve"> de cada uno de ellos:</w:t>
      </w:r>
      <w:r w:rsidRPr="00CE1C1E">
        <w:rPr>
          <w:rFonts w:ascii="Verdana" w:eastAsia="Times New Roman" w:hAnsi="Verdana" w:cs="Times New Roman"/>
          <w:color w:val="222222"/>
          <w:kern w:val="0"/>
          <w:sz w:val="2"/>
          <w:szCs w:val="2"/>
          <w:lang w:eastAsia="es-ES"/>
          <w14:ligatures w14:val="none"/>
        </w:rPr>
        <w:t> cálculo del PIRE</w:t>
      </w:r>
    </w:p>
    <w:p w14:paraId="44CA1855"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6BAAF327" wp14:editId="183F1675">
            <wp:extent cx="1998345" cy="182245"/>
            <wp:effectExtent l="0" t="0" r="1905" b="8255"/>
            <wp:docPr id="12" name="Imagen 15" descr="EIRP=P_{T}+G_{T(dbi)}-L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RP=P_{T}+G_{T(dbi)}-L_{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345" cy="182245"/>
                    </a:xfrm>
                    <a:prstGeom prst="rect">
                      <a:avLst/>
                    </a:prstGeom>
                    <a:noFill/>
                    <a:ln>
                      <a:noFill/>
                    </a:ln>
                  </pic:spPr>
                </pic:pic>
              </a:graphicData>
            </a:graphic>
          </wp:inline>
        </w:drawing>
      </w:r>
    </w:p>
    <w:p w14:paraId="181446A1"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474D4093" wp14:editId="79B31879">
            <wp:extent cx="1943100" cy="173355"/>
            <wp:effectExtent l="0" t="0" r="0" b="0"/>
            <wp:docPr id="13" name="Imagen 14" descr="ERP=P_{T}+G_{T(dbd)}-L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P=P_{T}+G_{T(dbd)}-L_{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73355"/>
                    </a:xfrm>
                    <a:prstGeom prst="rect">
                      <a:avLst/>
                    </a:prstGeom>
                    <a:noFill/>
                    <a:ln>
                      <a:noFill/>
                    </a:ln>
                  </pic:spPr>
                </pic:pic>
              </a:graphicData>
            </a:graphic>
          </wp:inline>
        </w:drawing>
      </w:r>
    </w:p>
    <w:p w14:paraId="5CE6487B"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Donde:</w:t>
      </w:r>
    </w:p>
    <w:p w14:paraId="09778728" w14:textId="77777777" w:rsidR="00CE1C1E" w:rsidRPr="00CE1C1E" w:rsidRDefault="00CE1C1E" w:rsidP="003B26D7">
      <w:pPr>
        <w:shd w:val="clear" w:color="auto" w:fill="FFFFFF"/>
        <w:spacing w:after="390" w:line="240" w:lineRule="auto"/>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EIRP = potencia radiada efectiva en las mismas unidades que PT, relativa a una antena isotrópica;</w:t>
      </w:r>
      <w:r w:rsidRPr="00CE1C1E">
        <w:rPr>
          <w:rFonts w:ascii="Verdana" w:eastAsia="Times New Roman" w:hAnsi="Verdana" w:cs="Times New Roman"/>
          <w:color w:val="222222"/>
          <w:kern w:val="0"/>
          <w:sz w:val="23"/>
          <w:szCs w:val="23"/>
          <w:lang w:eastAsia="es-ES"/>
          <w14:ligatures w14:val="none"/>
        </w:rPr>
        <w:br/>
        <w:t>ERP = potencia radiada efectiva en las mismas unidades que PT, relativa a una antena dipolo;</w:t>
      </w:r>
      <w:r w:rsidRPr="00CE1C1E">
        <w:rPr>
          <w:rFonts w:ascii="Verdana" w:eastAsia="Times New Roman" w:hAnsi="Verdana" w:cs="Times New Roman"/>
          <w:color w:val="222222"/>
          <w:kern w:val="0"/>
          <w:sz w:val="23"/>
          <w:szCs w:val="23"/>
          <w:lang w:eastAsia="es-ES"/>
          <w14:ligatures w14:val="none"/>
        </w:rPr>
        <w:br/>
        <w:t xml:space="preserve">PT = potencia de salida del transmisor, en </w:t>
      </w:r>
      <w:proofErr w:type="spellStart"/>
      <w:r w:rsidRPr="00CE1C1E">
        <w:rPr>
          <w:rFonts w:ascii="Verdana" w:eastAsia="Times New Roman" w:hAnsi="Verdana" w:cs="Times New Roman"/>
          <w:color w:val="222222"/>
          <w:kern w:val="0"/>
          <w:sz w:val="23"/>
          <w:szCs w:val="23"/>
          <w:lang w:eastAsia="es-ES"/>
          <w14:ligatures w14:val="none"/>
        </w:rPr>
        <w:t>dBW</w:t>
      </w:r>
      <w:proofErr w:type="spellEnd"/>
      <w:r w:rsidRPr="00CE1C1E">
        <w:rPr>
          <w:rFonts w:ascii="Verdana" w:eastAsia="Times New Roman" w:hAnsi="Verdana" w:cs="Times New Roman"/>
          <w:color w:val="222222"/>
          <w:kern w:val="0"/>
          <w:sz w:val="23"/>
          <w:szCs w:val="23"/>
          <w:lang w:eastAsia="es-ES"/>
          <w14:ligatures w14:val="none"/>
        </w:rPr>
        <w:t xml:space="preserve"> o dBm.</w:t>
      </w:r>
      <w:r w:rsidRPr="00CE1C1E">
        <w:rPr>
          <w:rFonts w:ascii="Verdana" w:eastAsia="Times New Roman" w:hAnsi="Verdana" w:cs="Times New Roman"/>
          <w:color w:val="222222"/>
          <w:kern w:val="0"/>
          <w:sz w:val="23"/>
          <w:szCs w:val="23"/>
          <w:lang w:eastAsia="es-ES"/>
          <w14:ligatures w14:val="none"/>
        </w:rPr>
        <w:br/>
        <w:t>GT (</w:t>
      </w:r>
      <w:proofErr w:type="spellStart"/>
      <w:r w:rsidRPr="00CE1C1E">
        <w:rPr>
          <w:rFonts w:ascii="Verdana" w:eastAsia="Times New Roman" w:hAnsi="Verdana" w:cs="Times New Roman"/>
          <w:color w:val="222222"/>
          <w:kern w:val="0"/>
          <w:sz w:val="23"/>
          <w:szCs w:val="23"/>
          <w:lang w:eastAsia="es-ES"/>
          <w14:ligatures w14:val="none"/>
        </w:rPr>
        <w:t>dbi</w:t>
      </w:r>
      <w:proofErr w:type="spellEnd"/>
      <w:r w:rsidRPr="00CE1C1E">
        <w:rPr>
          <w:rFonts w:ascii="Verdana" w:eastAsia="Times New Roman" w:hAnsi="Verdana" w:cs="Times New Roman"/>
          <w:color w:val="222222"/>
          <w:kern w:val="0"/>
          <w:sz w:val="23"/>
          <w:szCs w:val="23"/>
          <w:lang w:eastAsia="es-ES"/>
          <w14:ligatures w14:val="none"/>
        </w:rPr>
        <w:t>) = ganancia de la antena transmisora, en dBi, relativa a una antena isotrópica;</w:t>
      </w:r>
      <w:r w:rsidRPr="00CE1C1E">
        <w:rPr>
          <w:rFonts w:ascii="Verdana" w:eastAsia="Times New Roman" w:hAnsi="Verdana" w:cs="Times New Roman"/>
          <w:color w:val="222222"/>
          <w:kern w:val="0"/>
          <w:sz w:val="23"/>
          <w:szCs w:val="23"/>
          <w:lang w:eastAsia="es-ES"/>
          <w14:ligatures w14:val="none"/>
        </w:rPr>
        <w:br/>
        <w:t>GT (</w:t>
      </w:r>
      <w:proofErr w:type="spellStart"/>
      <w:r w:rsidRPr="00CE1C1E">
        <w:rPr>
          <w:rFonts w:ascii="Verdana" w:eastAsia="Times New Roman" w:hAnsi="Verdana" w:cs="Times New Roman"/>
          <w:color w:val="222222"/>
          <w:kern w:val="0"/>
          <w:sz w:val="23"/>
          <w:szCs w:val="23"/>
          <w:lang w:eastAsia="es-ES"/>
          <w14:ligatures w14:val="none"/>
        </w:rPr>
        <w:t>dbd</w:t>
      </w:r>
      <w:proofErr w:type="spellEnd"/>
      <w:r w:rsidRPr="00CE1C1E">
        <w:rPr>
          <w:rFonts w:ascii="Verdana" w:eastAsia="Times New Roman" w:hAnsi="Verdana" w:cs="Times New Roman"/>
          <w:color w:val="222222"/>
          <w:kern w:val="0"/>
          <w:sz w:val="23"/>
          <w:szCs w:val="23"/>
          <w:lang w:eastAsia="es-ES"/>
          <w14:ligatures w14:val="none"/>
        </w:rPr>
        <w:t xml:space="preserve">) = ganancia de la antena transmisora, en </w:t>
      </w:r>
      <w:proofErr w:type="spellStart"/>
      <w:r w:rsidRPr="00CE1C1E">
        <w:rPr>
          <w:rFonts w:ascii="Verdana" w:eastAsia="Times New Roman" w:hAnsi="Verdana" w:cs="Times New Roman"/>
          <w:color w:val="222222"/>
          <w:kern w:val="0"/>
          <w:sz w:val="23"/>
          <w:szCs w:val="23"/>
          <w:lang w:eastAsia="es-ES"/>
          <w14:ligatures w14:val="none"/>
        </w:rPr>
        <w:t>dBd</w:t>
      </w:r>
      <w:proofErr w:type="spellEnd"/>
      <w:r w:rsidRPr="00CE1C1E">
        <w:rPr>
          <w:rFonts w:ascii="Verdana" w:eastAsia="Times New Roman" w:hAnsi="Verdana" w:cs="Times New Roman"/>
          <w:color w:val="222222"/>
          <w:kern w:val="0"/>
          <w:sz w:val="23"/>
          <w:szCs w:val="23"/>
          <w:lang w:eastAsia="es-ES"/>
          <w14:ligatures w14:val="none"/>
        </w:rPr>
        <w:t>, relativa a una antena dipolo;</w:t>
      </w:r>
      <w:r w:rsidRPr="00CE1C1E">
        <w:rPr>
          <w:rFonts w:ascii="Verdana" w:eastAsia="Times New Roman" w:hAnsi="Verdana" w:cs="Times New Roman"/>
          <w:color w:val="222222"/>
          <w:kern w:val="0"/>
          <w:sz w:val="23"/>
          <w:szCs w:val="23"/>
          <w:lang w:eastAsia="es-ES"/>
          <w14:ligatures w14:val="none"/>
        </w:rPr>
        <w:br/>
        <w:t>LC = atenuación de señal en el cable de conexión entre el transmisor y la antena, en dB.</w:t>
      </w:r>
    </w:p>
    <w:p w14:paraId="4988AF4B"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b/>
          <w:bCs/>
          <w:color w:val="222222"/>
          <w:kern w:val="0"/>
          <w:lang w:eastAsia="es-ES"/>
          <w14:ligatures w14:val="none"/>
        </w:rPr>
        <w:t>Relación entre EIRP y ERP</w:t>
      </w:r>
    </w:p>
    <w:p w14:paraId="1BB9BF11" w14:textId="77777777" w:rsidR="00CE1C1E" w:rsidRPr="00CE1C1E" w:rsidRDefault="00CE1C1E" w:rsidP="003B26D7">
      <w:pPr>
        <w:shd w:val="clear" w:color="auto" w:fill="FFFFFF"/>
        <w:spacing w:after="390" w:line="240" w:lineRule="auto"/>
        <w:ind w:firstLine="708"/>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Como se ha indicado, la ganancia numérica de una antena isotrópica es 1, mientras que la ganancia numérica de una antena dipolo de media longitud de onda es 1.64, si expresamos el valor numérico de 1.64 en términos logarítmicos obtenemos lo siguiente:</w:t>
      </w:r>
      <w:r w:rsidRPr="00CE1C1E">
        <w:rPr>
          <w:rFonts w:ascii="Verdana" w:eastAsia="Times New Roman" w:hAnsi="Verdana" w:cs="Times New Roman"/>
          <w:color w:val="222222"/>
          <w:kern w:val="0"/>
          <w:sz w:val="2"/>
          <w:szCs w:val="2"/>
          <w:lang w:eastAsia="es-ES"/>
          <w14:ligatures w14:val="none"/>
        </w:rPr>
        <w:t> cálculo del PIRE</w:t>
      </w:r>
    </w:p>
    <w:p w14:paraId="3FE3BB74"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66BEC853" wp14:editId="1F56AC72">
            <wp:extent cx="1350645" cy="182245"/>
            <wp:effectExtent l="0" t="0" r="1905" b="8255"/>
            <wp:docPr id="14" name="Imagen 13" descr="10log(1.6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log(1.64)=2.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645" cy="182245"/>
                    </a:xfrm>
                    <a:prstGeom prst="rect">
                      <a:avLst/>
                    </a:prstGeom>
                    <a:noFill/>
                    <a:ln>
                      <a:noFill/>
                    </a:ln>
                  </pic:spPr>
                </pic:pic>
              </a:graphicData>
            </a:graphic>
          </wp:inline>
        </w:drawing>
      </w:r>
    </w:p>
    <w:p w14:paraId="1E9B2789" w14:textId="77777777" w:rsidR="00CE1C1E" w:rsidRPr="00CE1C1E" w:rsidRDefault="00CE1C1E" w:rsidP="002E2FB6">
      <w:pPr>
        <w:shd w:val="clear" w:color="auto" w:fill="FFFFFF"/>
        <w:spacing w:after="390" w:line="240" w:lineRule="auto"/>
        <w:ind w:firstLine="708"/>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lastRenderedPageBreak/>
        <w:t>Entonces, si tomamos la ecuación de ERP obtendremos una relación matemática entre ERP e EIRP lo cual nos ayudará a obtener un valor en función al otro para efectos prácticos:</w:t>
      </w:r>
    </w:p>
    <w:p w14:paraId="414876CE"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74E189F5" wp14:editId="0B766009">
            <wp:extent cx="1494155" cy="351155"/>
            <wp:effectExtent l="0" t="0" r="0" b="0"/>
            <wp:docPr id="15" name="Imagen 12" descr="erp=\frac{eirp}{1.64}=\frac{p_{t}*g_{t}}{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p=\frac{eirp}{1.64}=\frac{p_{t}*g_{t}}{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4155" cy="351155"/>
                    </a:xfrm>
                    <a:prstGeom prst="rect">
                      <a:avLst/>
                    </a:prstGeom>
                    <a:noFill/>
                    <a:ln>
                      <a:noFill/>
                    </a:ln>
                  </pic:spPr>
                </pic:pic>
              </a:graphicData>
            </a:graphic>
          </wp:inline>
        </w:drawing>
      </w:r>
    </w:p>
    <w:p w14:paraId="140293FB" w14:textId="4E0FC11C"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 xml:space="preserve">Sacamos el logaritmo a cada </w:t>
      </w:r>
      <w:r w:rsidR="002E2FB6" w:rsidRPr="00CE1C1E">
        <w:rPr>
          <w:rFonts w:ascii="Verdana" w:eastAsia="Times New Roman" w:hAnsi="Verdana" w:cs="Times New Roman"/>
          <w:color w:val="222222"/>
          <w:kern w:val="0"/>
          <w:sz w:val="23"/>
          <w:szCs w:val="23"/>
          <w:lang w:eastAsia="es-ES"/>
          <w14:ligatures w14:val="none"/>
        </w:rPr>
        <w:t>término</w:t>
      </w:r>
      <w:r w:rsidRPr="00CE1C1E">
        <w:rPr>
          <w:rFonts w:ascii="Verdana" w:eastAsia="Times New Roman" w:hAnsi="Verdana" w:cs="Times New Roman"/>
          <w:color w:val="222222"/>
          <w:kern w:val="0"/>
          <w:sz w:val="23"/>
          <w:szCs w:val="23"/>
          <w:lang w:eastAsia="es-ES"/>
          <w14:ligatures w14:val="none"/>
        </w:rPr>
        <w:t xml:space="preserve"> de la ecuación:</w:t>
      </w:r>
    </w:p>
    <w:p w14:paraId="41F3C12D"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574EFFA0" wp14:editId="0CB18C79">
            <wp:extent cx="1515745" cy="351155"/>
            <wp:effectExtent l="0" t="0" r="8255" b="0"/>
            <wp:docPr id="16" name="Imagen 11" descr="log(erp)=log(\frac{eirp}{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erp)=log(\frac{eirp}{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745" cy="351155"/>
                    </a:xfrm>
                    <a:prstGeom prst="rect">
                      <a:avLst/>
                    </a:prstGeom>
                    <a:noFill/>
                    <a:ln>
                      <a:noFill/>
                    </a:ln>
                  </pic:spPr>
                </pic:pic>
              </a:graphicData>
            </a:graphic>
          </wp:inline>
        </w:drawing>
      </w:r>
    </w:p>
    <w:p w14:paraId="3F46AFA4"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Con lo que obtenemos una relación de ERP en función de EIRP:</w:t>
      </w:r>
    </w:p>
    <w:p w14:paraId="15CD0DAF"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1266AE4A" wp14:editId="0839066E">
            <wp:extent cx="1638300" cy="122555"/>
            <wp:effectExtent l="0" t="0" r="0" b="0"/>
            <wp:docPr id="17" name="Imagen 10" descr="ERP=EIRP-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P=EIRP-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22555"/>
                    </a:xfrm>
                    <a:prstGeom prst="rect">
                      <a:avLst/>
                    </a:prstGeom>
                    <a:noFill/>
                    <a:ln>
                      <a:noFill/>
                    </a:ln>
                  </pic:spPr>
                </pic:pic>
              </a:graphicData>
            </a:graphic>
          </wp:inline>
        </w:drawing>
      </w:r>
    </w:p>
    <w:p w14:paraId="7692A3A6"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color w:val="222222"/>
          <w:kern w:val="0"/>
          <w:sz w:val="23"/>
          <w:szCs w:val="23"/>
          <w:lang w:eastAsia="es-ES"/>
          <w14:ligatures w14:val="none"/>
        </w:rPr>
        <w:t>Lo mismo para el caso de EIRP en función de ERP:</w:t>
      </w:r>
    </w:p>
    <w:p w14:paraId="729D1688" w14:textId="77777777" w:rsidR="00CE1C1E" w:rsidRPr="00CE1C1E" w:rsidRDefault="00CE1C1E" w:rsidP="00CE1C1E">
      <w:pPr>
        <w:shd w:val="clear" w:color="auto" w:fill="FFFFFF"/>
        <w:spacing w:after="390" w:line="240" w:lineRule="auto"/>
        <w:jc w:val="both"/>
        <w:textAlignment w:val="baseline"/>
        <w:rPr>
          <w:rFonts w:ascii="Verdana" w:eastAsia="Times New Roman" w:hAnsi="Verdana" w:cs="Times New Roman"/>
          <w:color w:val="222222"/>
          <w:kern w:val="0"/>
          <w:sz w:val="23"/>
          <w:szCs w:val="23"/>
          <w:lang w:eastAsia="es-ES"/>
          <w14:ligatures w14:val="none"/>
        </w:rPr>
      </w:pPr>
      <w:r w:rsidRPr="00CE1C1E">
        <w:rPr>
          <w:rFonts w:ascii="Verdana" w:eastAsia="Times New Roman" w:hAnsi="Verdana" w:cs="Times New Roman"/>
          <w:noProof/>
          <w:color w:val="222222"/>
          <w:kern w:val="0"/>
          <w:sz w:val="23"/>
          <w:szCs w:val="23"/>
          <w:lang w:eastAsia="es-ES"/>
          <w14:ligatures w14:val="none"/>
        </w:rPr>
        <w:drawing>
          <wp:inline distT="0" distB="0" distL="0" distR="0" wp14:anchorId="0EB8709F" wp14:editId="54C54240">
            <wp:extent cx="1638300" cy="144145"/>
            <wp:effectExtent l="0" t="0" r="0" b="8255"/>
            <wp:docPr id="18" name="Imagen 9" descr="EIRP=ERP+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RP=ERP+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44145"/>
                    </a:xfrm>
                    <a:prstGeom prst="rect">
                      <a:avLst/>
                    </a:prstGeom>
                    <a:noFill/>
                    <a:ln>
                      <a:noFill/>
                    </a:ln>
                  </pic:spPr>
                </pic:pic>
              </a:graphicData>
            </a:graphic>
          </wp:inline>
        </w:drawing>
      </w:r>
    </w:p>
    <w:p w14:paraId="0F7649BC" w14:textId="77777777" w:rsidR="00CE1C1E" w:rsidRPr="00CE1C1E" w:rsidRDefault="00CE1C1E" w:rsidP="002E2FB6">
      <w:pPr>
        <w:shd w:val="clear" w:color="auto" w:fill="FFFFFF"/>
        <w:spacing w:after="0" w:line="240" w:lineRule="auto"/>
        <w:jc w:val="both"/>
        <w:textAlignment w:val="baseline"/>
        <w:rPr>
          <w:rFonts w:ascii="Verdana" w:eastAsia="Times New Roman" w:hAnsi="Verdana" w:cs="Times New Roman"/>
          <w:b/>
          <w:bCs/>
          <w:color w:val="222222"/>
          <w:kern w:val="0"/>
          <w:sz w:val="23"/>
          <w:szCs w:val="23"/>
          <w:lang w:eastAsia="es-ES"/>
          <w14:ligatures w14:val="none"/>
        </w:rPr>
      </w:pPr>
      <w:r w:rsidRPr="00CE1C1E">
        <w:rPr>
          <w:rFonts w:ascii="Verdana" w:eastAsia="Times New Roman" w:hAnsi="Verdana" w:cs="Times New Roman"/>
          <w:b/>
          <w:bCs/>
          <w:color w:val="222222"/>
          <w:kern w:val="0"/>
          <w:sz w:val="16"/>
          <w:szCs w:val="16"/>
          <w:lang w:eastAsia="es-ES"/>
          <w14:ligatures w14:val="none"/>
        </w:rPr>
        <w:t>Referencias:</w:t>
      </w:r>
    </w:p>
    <w:p w14:paraId="47F75B2E" w14:textId="77777777" w:rsidR="00CE1C1E" w:rsidRPr="00CE1C1E" w:rsidRDefault="00CE1C1E" w:rsidP="002E2FB6">
      <w:pPr>
        <w:numPr>
          <w:ilvl w:val="0"/>
          <w:numId w:val="1"/>
        </w:numPr>
        <w:shd w:val="clear" w:color="auto" w:fill="FFFFFF"/>
        <w:spacing w:before="100" w:beforeAutospacing="1" w:after="0" w:line="240" w:lineRule="auto"/>
        <w:ind w:left="675"/>
        <w:jc w:val="both"/>
        <w:textAlignment w:val="baseline"/>
        <w:rPr>
          <w:rFonts w:ascii="Verdana" w:eastAsia="Times New Roman" w:hAnsi="Verdana" w:cs="Times New Roman"/>
          <w:b/>
          <w:bCs/>
          <w:color w:val="222222"/>
          <w:kern w:val="0"/>
          <w:sz w:val="23"/>
          <w:szCs w:val="23"/>
          <w:lang w:eastAsia="es-ES"/>
          <w14:ligatures w14:val="none"/>
        </w:rPr>
      </w:pPr>
      <w:r w:rsidRPr="00CE1C1E">
        <w:rPr>
          <w:rFonts w:ascii="Verdana" w:eastAsia="Times New Roman" w:hAnsi="Verdana" w:cs="Times New Roman"/>
          <w:b/>
          <w:bCs/>
          <w:color w:val="222222"/>
          <w:kern w:val="0"/>
          <w:sz w:val="16"/>
          <w:szCs w:val="16"/>
          <w:lang w:eastAsia="es-ES"/>
          <w14:ligatures w14:val="none"/>
        </w:rPr>
        <w:t>https://apps.fcc.gov/eas/comments/GetPublishedDocument.html?id=204&amp;tn=255011</w:t>
      </w:r>
    </w:p>
    <w:p w14:paraId="7771E227" w14:textId="77777777" w:rsidR="00CE1C1E" w:rsidRPr="00CE1C1E" w:rsidRDefault="00CE1C1E" w:rsidP="002E2FB6">
      <w:pPr>
        <w:numPr>
          <w:ilvl w:val="0"/>
          <w:numId w:val="1"/>
        </w:numPr>
        <w:shd w:val="clear" w:color="auto" w:fill="FFFFFF"/>
        <w:spacing w:before="100" w:beforeAutospacing="1" w:after="0" w:line="240" w:lineRule="auto"/>
        <w:ind w:left="675"/>
        <w:jc w:val="both"/>
        <w:textAlignment w:val="baseline"/>
        <w:rPr>
          <w:rFonts w:ascii="Verdana" w:eastAsia="Times New Roman" w:hAnsi="Verdana" w:cs="Times New Roman"/>
          <w:b/>
          <w:bCs/>
          <w:color w:val="222222"/>
          <w:kern w:val="0"/>
          <w:sz w:val="23"/>
          <w:szCs w:val="23"/>
          <w:lang w:val="en-US" w:eastAsia="es-ES"/>
          <w14:ligatures w14:val="none"/>
        </w:rPr>
      </w:pPr>
      <w:r w:rsidRPr="00CE1C1E">
        <w:rPr>
          <w:rFonts w:ascii="Verdana" w:eastAsia="Times New Roman" w:hAnsi="Verdana" w:cs="Times New Roman"/>
          <w:b/>
          <w:bCs/>
          <w:color w:val="222222"/>
          <w:kern w:val="0"/>
          <w:sz w:val="16"/>
          <w:szCs w:val="16"/>
          <w:lang w:val="en-US" w:eastAsia="es-ES"/>
          <w14:ligatures w14:val="none"/>
        </w:rPr>
        <w:t>The Authoritative Dictionary of IEEE Standards Terms, Seventh Edition,» in </w:t>
      </w:r>
      <w:r w:rsidRPr="00CE1C1E">
        <w:rPr>
          <w:rFonts w:ascii="Verdana" w:eastAsia="Times New Roman" w:hAnsi="Verdana" w:cs="Times New Roman"/>
          <w:b/>
          <w:bCs/>
          <w:i/>
          <w:iCs/>
          <w:color w:val="222222"/>
          <w:kern w:val="0"/>
          <w:sz w:val="16"/>
          <w:szCs w:val="16"/>
          <w:lang w:val="en-US" w:eastAsia="es-ES"/>
          <w14:ligatures w14:val="none"/>
        </w:rPr>
        <w:t>IEEE Std 100-2000</w:t>
      </w:r>
      <w:r w:rsidRPr="00CE1C1E">
        <w:rPr>
          <w:rFonts w:ascii="Verdana" w:eastAsia="Times New Roman" w:hAnsi="Verdana" w:cs="Times New Roman"/>
          <w:b/>
          <w:bCs/>
          <w:color w:val="222222"/>
          <w:kern w:val="0"/>
          <w:sz w:val="16"/>
          <w:szCs w:val="16"/>
          <w:lang w:val="en-US" w:eastAsia="es-ES"/>
          <w14:ligatures w14:val="none"/>
        </w:rPr>
        <w:t> , vol., no., pp.1-1362, 11 Dec. 2000, </w:t>
      </w:r>
      <w:proofErr w:type="spellStart"/>
      <w:r w:rsidRPr="00CE1C1E">
        <w:rPr>
          <w:rFonts w:ascii="Verdana" w:eastAsia="Times New Roman" w:hAnsi="Verdana" w:cs="Times New Roman"/>
          <w:b/>
          <w:bCs/>
          <w:color w:val="222222"/>
          <w:kern w:val="0"/>
          <w:sz w:val="16"/>
          <w:szCs w:val="16"/>
          <w:lang w:val="en-US" w:eastAsia="es-ES"/>
          <w14:ligatures w14:val="none"/>
        </w:rPr>
        <w:t>doi</w:t>
      </w:r>
      <w:proofErr w:type="spellEnd"/>
      <w:r w:rsidRPr="00CE1C1E">
        <w:rPr>
          <w:rFonts w:ascii="Verdana" w:eastAsia="Times New Roman" w:hAnsi="Verdana" w:cs="Times New Roman"/>
          <w:b/>
          <w:bCs/>
          <w:color w:val="222222"/>
          <w:kern w:val="0"/>
          <w:sz w:val="16"/>
          <w:szCs w:val="16"/>
          <w:lang w:val="en-US" w:eastAsia="es-ES"/>
          <w14:ligatures w14:val="none"/>
        </w:rPr>
        <w:t>: 10.1109/IEEESTD.2000.322230, URL: </w:t>
      </w:r>
      <w:hyperlink r:id="rId17" w:history="1">
        <w:r w:rsidRPr="00CE1C1E">
          <w:rPr>
            <w:rFonts w:ascii="Verdana" w:eastAsia="Times New Roman" w:hAnsi="Verdana" w:cs="Times New Roman"/>
            <w:b/>
            <w:bCs/>
            <w:color w:val="820101"/>
            <w:kern w:val="0"/>
            <w:sz w:val="16"/>
            <w:szCs w:val="16"/>
            <w:lang w:val="en-US" w:eastAsia="es-ES"/>
            <w14:ligatures w14:val="none"/>
          </w:rPr>
          <w:t>http://ieeexplore.ieee.org/stamp/stamp.jsp?tp=&amp;arnumber=4116787&amp;isnumber=4116786</w:t>
        </w:r>
      </w:hyperlink>
    </w:p>
    <w:p w14:paraId="66FDE854" w14:textId="77777777" w:rsidR="00CE1C1E" w:rsidRPr="00CE1C1E" w:rsidRDefault="00CE1C1E" w:rsidP="002E2FB6">
      <w:pPr>
        <w:numPr>
          <w:ilvl w:val="0"/>
          <w:numId w:val="1"/>
        </w:numPr>
        <w:shd w:val="clear" w:color="auto" w:fill="FFFFFF"/>
        <w:spacing w:before="100" w:beforeAutospacing="1" w:after="0" w:line="240" w:lineRule="auto"/>
        <w:ind w:left="675"/>
        <w:jc w:val="both"/>
        <w:textAlignment w:val="baseline"/>
        <w:rPr>
          <w:rFonts w:ascii="Verdana" w:eastAsia="Times New Roman" w:hAnsi="Verdana" w:cs="Times New Roman"/>
          <w:b/>
          <w:bCs/>
          <w:color w:val="222222"/>
          <w:kern w:val="0"/>
          <w:sz w:val="23"/>
          <w:szCs w:val="23"/>
          <w:lang w:val="en-US" w:eastAsia="es-ES"/>
          <w14:ligatures w14:val="none"/>
        </w:rPr>
      </w:pPr>
      <w:r w:rsidRPr="00CE1C1E">
        <w:rPr>
          <w:rFonts w:ascii="Verdana" w:eastAsia="Times New Roman" w:hAnsi="Verdana" w:cs="Times New Roman"/>
          <w:b/>
          <w:bCs/>
          <w:color w:val="222222"/>
          <w:kern w:val="0"/>
          <w:sz w:val="16"/>
          <w:szCs w:val="16"/>
          <w:lang w:val="en-US" w:eastAsia="es-ES"/>
          <w14:ligatures w14:val="none"/>
        </w:rPr>
        <w:t xml:space="preserve">Jones, Graham A.; Layer, David H.; </w:t>
      </w:r>
      <w:proofErr w:type="spellStart"/>
      <w:r w:rsidRPr="00CE1C1E">
        <w:rPr>
          <w:rFonts w:ascii="Verdana" w:eastAsia="Times New Roman" w:hAnsi="Verdana" w:cs="Times New Roman"/>
          <w:b/>
          <w:bCs/>
          <w:color w:val="222222"/>
          <w:kern w:val="0"/>
          <w:sz w:val="16"/>
          <w:szCs w:val="16"/>
          <w:lang w:val="en-US" w:eastAsia="es-ES"/>
          <w14:ligatures w14:val="none"/>
        </w:rPr>
        <w:t>Osenkowsky</w:t>
      </w:r>
      <w:proofErr w:type="spellEnd"/>
      <w:r w:rsidRPr="00CE1C1E">
        <w:rPr>
          <w:rFonts w:ascii="Verdana" w:eastAsia="Times New Roman" w:hAnsi="Verdana" w:cs="Times New Roman"/>
          <w:b/>
          <w:bCs/>
          <w:color w:val="222222"/>
          <w:kern w:val="0"/>
          <w:sz w:val="16"/>
          <w:szCs w:val="16"/>
          <w:lang w:val="en-US" w:eastAsia="es-ES"/>
          <w14:ligatures w14:val="none"/>
        </w:rPr>
        <w:t>, Thomas G. (2007). National Association of Broadcasters Engineering</w:t>
      </w:r>
    </w:p>
    <w:p w14:paraId="35C6C997" w14:textId="77777777" w:rsidR="00CE1C1E" w:rsidRPr="00CE1C1E" w:rsidRDefault="00CE1C1E" w:rsidP="002E2FB6">
      <w:pPr>
        <w:numPr>
          <w:ilvl w:val="0"/>
          <w:numId w:val="1"/>
        </w:numPr>
        <w:shd w:val="clear" w:color="auto" w:fill="FFFFFF"/>
        <w:spacing w:before="100" w:beforeAutospacing="1" w:after="0" w:line="240" w:lineRule="auto"/>
        <w:ind w:left="675"/>
        <w:jc w:val="both"/>
        <w:textAlignment w:val="baseline"/>
        <w:rPr>
          <w:rFonts w:ascii="Verdana" w:eastAsia="Times New Roman" w:hAnsi="Verdana" w:cs="Times New Roman"/>
          <w:b/>
          <w:bCs/>
          <w:color w:val="222222"/>
          <w:kern w:val="0"/>
          <w:sz w:val="23"/>
          <w:szCs w:val="23"/>
          <w:lang w:eastAsia="es-ES"/>
          <w14:ligatures w14:val="none"/>
        </w:rPr>
      </w:pPr>
      <w:r w:rsidRPr="00CE1C1E">
        <w:rPr>
          <w:rFonts w:ascii="Verdana" w:eastAsia="Times New Roman" w:hAnsi="Verdana" w:cs="Times New Roman"/>
          <w:b/>
          <w:bCs/>
          <w:color w:val="222222"/>
          <w:kern w:val="0"/>
          <w:sz w:val="16"/>
          <w:szCs w:val="16"/>
          <w:lang w:val="en-US" w:eastAsia="es-ES"/>
          <w14:ligatures w14:val="none"/>
        </w:rPr>
        <w:t>Handbook, 10th Ed. Elsevier. p. 1632. </w:t>
      </w:r>
      <w:r w:rsidRPr="00CE1C1E">
        <w:rPr>
          <w:rFonts w:ascii="Verdana" w:eastAsia="Times New Roman" w:hAnsi="Verdana" w:cs="Times New Roman"/>
          <w:b/>
          <w:bCs/>
          <w:color w:val="222222"/>
          <w:kern w:val="0"/>
          <w:sz w:val="16"/>
          <w:szCs w:val="16"/>
          <w:lang w:eastAsia="es-ES"/>
          <w14:ligatures w14:val="none"/>
        </w:rPr>
        <w:t>ISBN 1136034102.</w:t>
      </w:r>
    </w:p>
    <w:p w14:paraId="26306EFD" w14:textId="77777777" w:rsidR="00CE1C1E" w:rsidRPr="00CE1C1E" w:rsidRDefault="00CE1C1E" w:rsidP="002E2FB6">
      <w:pPr>
        <w:numPr>
          <w:ilvl w:val="0"/>
          <w:numId w:val="1"/>
        </w:numPr>
        <w:shd w:val="clear" w:color="auto" w:fill="FFFFFF"/>
        <w:spacing w:before="100" w:beforeAutospacing="1" w:after="0" w:line="240" w:lineRule="auto"/>
        <w:ind w:left="675"/>
        <w:jc w:val="both"/>
        <w:textAlignment w:val="baseline"/>
        <w:rPr>
          <w:rFonts w:ascii="Verdana" w:eastAsia="Times New Roman" w:hAnsi="Verdana" w:cs="Times New Roman"/>
          <w:b/>
          <w:bCs/>
          <w:color w:val="222222"/>
          <w:kern w:val="0"/>
          <w:sz w:val="23"/>
          <w:szCs w:val="23"/>
          <w:lang w:eastAsia="es-ES"/>
          <w14:ligatures w14:val="none"/>
        </w:rPr>
      </w:pPr>
      <w:r w:rsidRPr="00CE1C1E">
        <w:rPr>
          <w:rFonts w:ascii="Verdana" w:eastAsia="Times New Roman" w:hAnsi="Verdana" w:cs="Times New Roman"/>
          <w:b/>
          <w:bCs/>
          <w:color w:val="222222"/>
          <w:kern w:val="0"/>
          <w:sz w:val="16"/>
          <w:szCs w:val="16"/>
          <w:lang w:val="en-US" w:eastAsia="es-ES"/>
          <w14:ligatures w14:val="none"/>
        </w:rPr>
        <w:t xml:space="preserve">Huang, Yi; Boyle, Kevin (2008). Antennas: From Theory to Practice. </w:t>
      </w:r>
      <w:r w:rsidRPr="00CE1C1E">
        <w:rPr>
          <w:rFonts w:ascii="Verdana" w:eastAsia="Times New Roman" w:hAnsi="Verdana" w:cs="Times New Roman"/>
          <w:b/>
          <w:bCs/>
          <w:color w:val="222222"/>
          <w:kern w:val="0"/>
          <w:sz w:val="16"/>
          <w:szCs w:val="16"/>
          <w:lang w:eastAsia="es-ES"/>
          <w14:ligatures w14:val="none"/>
        </w:rPr>
        <w:t xml:space="preserve">John Wiley and </w:t>
      </w:r>
      <w:proofErr w:type="spellStart"/>
      <w:r w:rsidRPr="00CE1C1E">
        <w:rPr>
          <w:rFonts w:ascii="Verdana" w:eastAsia="Times New Roman" w:hAnsi="Verdana" w:cs="Times New Roman"/>
          <w:b/>
          <w:bCs/>
          <w:color w:val="222222"/>
          <w:kern w:val="0"/>
          <w:sz w:val="16"/>
          <w:szCs w:val="16"/>
          <w:lang w:eastAsia="es-ES"/>
          <w14:ligatures w14:val="none"/>
        </w:rPr>
        <w:t>Sons</w:t>
      </w:r>
      <w:proofErr w:type="spellEnd"/>
      <w:r w:rsidRPr="00CE1C1E">
        <w:rPr>
          <w:rFonts w:ascii="Verdana" w:eastAsia="Times New Roman" w:hAnsi="Verdana" w:cs="Times New Roman"/>
          <w:b/>
          <w:bCs/>
          <w:color w:val="222222"/>
          <w:kern w:val="0"/>
          <w:sz w:val="16"/>
          <w:szCs w:val="16"/>
          <w:lang w:eastAsia="es-ES"/>
          <w14:ligatures w14:val="none"/>
        </w:rPr>
        <w:t>. pp. 117–118. ISBN 0470772921.</w:t>
      </w:r>
    </w:p>
    <w:p w14:paraId="2B1E9E2D" w14:textId="77777777" w:rsidR="00CE1C1E" w:rsidRPr="00CE1C1E" w:rsidRDefault="00CE1C1E" w:rsidP="002E2FB6">
      <w:pPr>
        <w:numPr>
          <w:ilvl w:val="0"/>
          <w:numId w:val="1"/>
        </w:numPr>
        <w:shd w:val="clear" w:color="auto" w:fill="FFFFFF"/>
        <w:spacing w:before="100" w:beforeAutospacing="1" w:after="0" w:line="240" w:lineRule="auto"/>
        <w:ind w:left="675"/>
        <w:jc w:val="both"/>
        <w:textAlignment w:val="baseline"/>
        <w:rPr>
          <w:rFonts w:ascii="Verdana" w:eastAsia="Times New Roman" w:hAnsi="Verdana" w:cs="Times New Roman"/>
          <w:b/>
          <w:bCs/>
          <w:color w:val="222222"/>
          <w:kern w:val="0"/>
          <w:sz w:val="23"/>
          <w:szCs w:val="23"/>
          <w:lang w:eastAsia="es-ES"/>
          <w14:ligatures w14:val="none"/>
        </w:rPr>
      </w:pPr>
      <w:r w:rsidRPr="00CE1C1E">
        <w:rPr>
          <w:rFonts w:ascii="Verdana" w:eastAsia="Times New Roman" w:hAnsi="Verdana" w:cs="Times New Roman"/>
          <w:b/>
          <w:bCs/>
          <w:color w:val="222222"/>
          <w:kern w:val="0"/>
          <w:sz w:val="16"/>
          <w:szCs w:val="16"/>
          <w:lang w:val="en-US" w:eastAsia="es-ES"/>
          <w14:ligatures w14:val="none"/>
        </w:rPr>
        <w:t>Seybold, John S. (2005). Introduction to RF Propagation. John Wiley and Sons. p. 292. </w:t>
      </w:r>
      <w:r w:rsidRPr="00CE1C1E">
        <w:rPr>
          <w:rFonts w:ascii="Verdana" w:eastAsia="Times New Roman" w:hAnsi="Verdana" w:cs="Times New Roman"/>
          <w:b/>
          <w:bCs/>
          <w:color w:val="222222"/>
          <w:kern w:val="0"/>
          <w:sz w:val="16"/>
          <w:szCs w:val="16"/>
          <w:lang w:eastAsia="es-ES"/>
          <w14:ligatures w14:val="none"/>
        </w:rPr>
        <w:t>ISBN 0471743682.</w:t>
      </w:r>
    </w:p>
    <w:p w14:paraId="50A6FC03" w14:textId="77777777" w:rsidR="00CE1C1E" w:rsidRPr="00CE1C1E" w:rsidRDefault="00CE1C1E" w:rsidP="002E2FB6">
      <w:pPr>
        <w:numPr>
          <w:ilvl w:val="0"/>
          <w:numId w:val="1"/>
        </w:numPr>
        <w:shd w:val="clear" w:color="auto" w:fill="FFFFFF"/>
        <w:spacing w:before="100" w:beforeAutospacing="1" w:after="0" w:line="240" w:lineRule="auto"/>
        <w:ind w:left="675"/>
        <w:jc w:val="both"/>
        <w:textAlignment w:val="baseline"/>
        <w:rPr>
          <w:rFonts w:ascii="Verdana" w:eastAsia="Times New Roman" w:hAnsi="Verdana" w:cs="Times New Roman"/>
          <w:b/>
          <w:bCs/>
          <w:color w:val="222222"/>
          <w:kern w:val="0"/>
          <w:sz w:val="23"/>
          <w:szCs w:val="23"/>
          <w:lang w:eastAsia="es-ES"/>
          <w14:ligatures w14:val="none"/>
        </w:rPr>
      </w:pPr>
      <w:proofErr w:type="spellStart"/>
      <w:r w:rsidRPr="00CE1C1E">
        <w:rPr>
          <w:rFonts w:ascii="Verdana" w:eastAsia="Times New Roman" w:hAnsi="Verdana" w:cs="Times New Roman"/>
          <w:b/>
          <w:bCs/>
          <w:color w:val="222222"/>
          <w:kern w:val="0"/>
          <w:sz w:val="16"/>
          <w:szCs w:val="16"/>
          <w:lang w:val="en-US" w:eastAsia="es-ES"/>
          <w14:ligatures w14:val="none"/>
        </w:rPr>
        <w:t>Lehpamer</w:t>
      </w:r>
      <w:proofErr w:type="spellEnd"/>
      <w:r w:rsidRPr="00CE1C1E">
        <w:rPr>
          <w:rFonts w:ascii="Verdana" w:eastAsia="Times New Roman" w:hAnsi="Verdana" w:cs="Times New Roman"/>
          <w:b/>
          <w:bCs/>
          <w:color w:val="222222"/>
          <w:kern w:val="0"/>
          <w:sz w:val="16"/>
          <w:szCs w:val="16"/>
          <w:lang w:val="en-US" w:eastAsia="es-ES"/>
          <w14:ligatures w14:val="none"/>
        </w:rPr>
        <w:t xml:space="preserve">, Harvey. Microwave transmission networks: planning, design, and deployment. </w:t>
      </w:r>
      <w:r w:rsidRPr="00CE1C1E">
        <w:rPr>
          <w:rFonts w:ascii="Verdana" w:eastAsia="Times New Roman" w:hAnsi="Verdana" w:cs="Times New Roman"/>
          <w:b/>
          <w:bCs/>
          <w:color w:val="222222"/>
          <w:kern w:val="0"/>
          <w:sz w:val="16"/>
          <w:szCs w:val="16"/>
          <w:lang w:eastAsia="es-ES"/>
          <w14:ligatures w14:val="none"/>
        </w:rPr>
        <w:t xml:space="preserve">New York: McGraw-Hill, 2010. </w:t>
      </w:r>
      <w:proofErr w:type="spellStart"/>
      <w:r w:rsidRPr="00CE1C1E">
        <w:rPr>
          <w:rFonts w:ascii="Verdana" w:eastAsia="Times New Roman" w:hAnsi="Verdana" w:cs="Times New Roman"/>
          <w:b/>
          <w:bCs/>
          <w:color w:val="222222"/>
          <w:kern w:val="0"/>
          <w:sz w:val="16"/>
          <w:szCs w:val="16"/>
          <w:lang w:eastAsia="es-ES"/>
          <w14:ligatures w14:val="none"/>
        </w:rPr>
        <w:t>Print</w:t>
      </w:r>
      <w:proofErr w:type="spellEnd"/>
      <w:r w:rsidRPr="00CE1C1E">
        <w:rPr>
          <w:rFonts w:ascii="Verdana" w:eastAsia="Times New Roman" w:hAnsi="Verdana" w:cs="Times New Roman"/>
          <w:b/>
          <w:bCs/>
          <w:color w:val="222222"/>
          <w:kern w:val="0"/>
          <w:sz w:val="16"/>
          <w:szCs w:val="16"/>
          <w:lang w:eastAsia="es-ES"/>
          <w14:ligatures w14:val="none"/>
        </w:rPr>
        <w:t>.</w:t>
      </w:r>
    </w:p>
    <w:p w14:paraId="5E34BD28" w14:textId="77777777" w:rsidR="00242659" w:rsidRDefault="00242659" w:rsidP="002E2FB6">
      <w:pPr>
        <w:spacing w:after="0"/>
        <w:jc w:val="both"/>
        <w:rPr>
          <w:b/>
          <w:bCs/>
        </w:rPr>
      </w:pPr>
    </w:p>
    <w:p w14:paraId="369924F0" w14:textId="51B08447" w:rsidR="00E756AA" w:rsidRPr="002E2FB6" w:rsidRDefault="00E756AA" w:rsidP="002E2FB6">
      <w:pPr>
        <w:spacing w:after="0"/>
        <w:jc w:val="both"/>
        <w:rPr>
          <w:b/>
          <w:bCs/>
        </w:rPr>
      </w:pPr>
      <w:r w:rsidRPr="008C0837">
        <w:rPr>
          <w:b/>
          <w:bCs/>
          <w:highlight w:val="yellow"/>
        </w:rPr>
        <w:t>VER</w:t>
      </w:r>
      <w:r w:rsidR="008C0837">
        <w:rPr>
          <w:b/>
          <w:bCs/>
          <w:highlight w:val="yellow"/>
        </w:rPr>
        <w:t xml:space="preserve">: </w:t>
      </w:r>
      <w:r w:rsidRPr="008C0837">
        <w:rPr>
          <w:b/>
          <w:bCs/>
          <w:highlight w:val="yellow"/>
        </w:rPr>
        <w:t xml:space="preserve"> Tabla de potencias y dBm en la pagina sigui</w:t>
      </w:r>
      <w:r w:rsidR="008C0837" w:rsidRPr="008C0837">
        <w:rPr>
          <w:b/>
          <w:bCs/>
          <w:highlight w:val="yellow"/>
        </w:rPr>
        <w:t>ente.</w:t>
      </w:r>
    </w:p>
    <w:p w14:paraId="2B925608" w14:textId="24B23701" w:rsidR="00242659" w:rsidRDefault="00556E83" w:rsidP="00556E83">
      <w:pPr>
        <w:ind w:firstLine="1418"/>
        <w:jc w:val="both"/>
      </w:pPr>
      <w:r>
        <w:rPr>
          <w:noProof/>
        </w:rPr>
        <w:lastRenderedPageBreak/>
        <w:drawing>
          <wp:inline distT="0" distB="0" distL="0" distR="0" wp14:anchorId="63F4E672" wp14:editId="74D24FA9">
            <wp:extent cx="3549203" cy="4151415"/>
            <wp:effectExtent l="0" t="0" r="0" b="1905"/>
            <wp:docPr id="677993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93024" name="Imagen 677993024"/>
                    <pic:cNvPicPr/>
                  </pic:nvPicPr>
                  <pic:blipFill>
                    <a:blip r:embed="rId18">
                      <a:extLst>
                        <a:ext uri="{28A0092B-C50C-407E-A947-70E740481C1C}">
                          <a14:useLocalDpi xmlns:a14="http://schemas.microsoft.com/office/drawing/2010/main" val="0"/>
                        </a:ext>
                      </a:extLst>
                    </a:blip>
                    <a:stretch>
                      <a:fillRect/>
                    </a:stretch>
                  </pic:blipFill>
                  <pic:spPr>
                    <a:xfrm>
                      <a:off x="0" y="0"/>
                      <a:ext cx="3565130" cy="4170044"/>
                    </a:xfrm>
                    <a:prstGeom prst="rect">
                      <a:avLst/>
                    </a:prstGeom>
                  </pic:spPr>
                </pic:pic>
              </a:graphicData>
            </a:graphic>
          </wp:inline>
        </w:drawing>
      </w:r>
    </w:p>
    <w:sectPr w:rsidR="00242659" w:rsidSect="003B26D7">
      <w:pgSz w:w="11906" w:h="16838"/>
      <w:pgMar w:top="1417" w:right="99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C547D"/>
    <w:multiLevelType w:val="multilevel"/>
    <w:tmpl w:val="EFF6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059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4A6"/>
    <w:rsid w:val="00242659"/>
    <w:rsid w:val="002A4021"/>
    <w:rsid w:val="002E2FB6"/>
    <w:rsid w:val="003B26D7"/>
    <w:rsid w:val="00556E83"/>
    <w:rsid w:val="006104A6"/>
    <w:rsid w:val="007C0745"/>
    <w:rsid w:val="007F4D2B"/>
    <w:rsid w:val="008C0837"/>
    <w:rsid w:val="008C6744"/>
    <w:rsid w:val="00B30792"/>
    <w:rsid w:val="00CE1C1E"/>
    <w:rsid w:val="00E36216"/>
    <w:rsid w:val="00E70A24"/>
    <w:rsid w:val="00E756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01F62"/>
  <w15:chartTrackingRefBased/>
  <w15:docId w15:val="{CF0910EA-0BE4-458E-B2FC-76807DE5A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04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104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104A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104A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104A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104A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104A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104A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104A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04A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104A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104A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104A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104A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104A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104A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104A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104A6"/>
    <w:rPr>
      <w:rFonts w:eastAsiaTheme="majorEastAsia" w:cstheme="majorBidi"/>
      <w:color w:val="272727" w:themeColor="text1" w:themeTint="D8"/>
    </w:rPr>
  </w:style>
  <w:style w:type="paragraph" w:styleId="Ttulo">
    <w:name w:val="Title"/>
    <w:basedOn w:val="Normal"/>
    <w:next w:val="Normal"/>
    <w:link w:val="TtuloCar"/>
    <w:uiPriority w:val="10"/>
    <w:qFormat/>
    <w:rsid w:val="006104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104A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104A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104A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104A6"/>
    <w:pPr>
      <w:spacing w:before="160"/>
      <w:jc w:val="center"/>
    </w:pPr>
    <w:rPr>
      <w:i/>
      <w:iCs/>
      <w:color w:val="404040" w:themeColor="text1" w:themeTint="BF"/>
    </w:rPr>
  </w:style>
  <w:style w:type="character" w:customStyle="1" w:styleId="CitaCar">
    <w:name w:val="Cita Car"/>
    <w:basedOn w:val="Fuentedeprrafopredeter"/>
    <w:link w:val="Cita"/>
    <w:uiPriority w:val="29"/>
    <w:rsid w:val="006104A6"/>
    <w:rPr>
      <w:i/>
      <w:iCs/>
      <w:color w:val="404040" w:themeColor="text1" w:themeTint="BF"/>
    </w:rPr>
  </w:style>
  <w:style w:type="paragraph" w:styleId="Prrafodelista">
    <w:name w:val="List Paragraph"/>
    <w:basedOn w:val="Normal"/>
    <w:uiPriority w:val="34"/>
    <w:qFormat/>
    <w:rsid w:val="006104A6"/>
    <w:pPr>
      <w:ind w:left="720"/>
      <w:contextualSpacing/>
    </w:pPr>
  </w:style>
  <w:style w:type="character" w:styleId="nfasisintenso">
    <w:name w:val="Intense Emphasis"/>
    <w:basedOn w:val="Fuentedeprrafopredeter"/>
    <w:uiPriority w:val="21"/>
    <w:qFormat/>
    <w:rsid w:val="006104A6"/>
    <w:rPr>
      <w:i/>
      <w:iCs/>
      <w:color w:val="0F4761" w:themeColor="accent1" w:themeShade="BF"/>
    </w:rPr>
  </w:style>
  <w:style w:type="paragraph" w:styleId="Citadestacada">
    <w:name w:val="Intense Quote"/>
    <w:basedOn w:val="Normal"/>
    <w:next w:val="Normal"/>
    <w:link w:val="CitadestacadaCar"/>
    <w:uiPriority w:val="30"/>
    <w:qFormat/>
    <w:rsid w:val="006104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104A6"/>
    <w:rPr>
      <w:i/>
      <w:iCs/>
      <w:color w:val="0F4761" w:themeColor="accent1" w:themeShade="BF"/>
    </w:rPr>
  </w:style>
  <w:style w:type="character" w:styleId="Referenciaintensa">
    <w:name w:val="Intense Reference"/>
    <w:basedOn w:val="Fuentedeprrafopredeter"/>
    <w:uiPriority w:val="32"/>
    <w:qFormat/>
    <w:rsid w:val="006104A6"/>
    <w:rPr>
      <w:b/>
      <w:bCs/>
      <w:smallCaps/>
      <w:color w:val="0F4761" w:themeColor="accent1" w:themeShade="BF"/>
      <w:spacing w:val="5"/>
    </w:rPr>
  </w:style>
  <w:style w:type="character" w:styleId="Hipervnculo">
    <w:name w:val="Hyperlink"/>
    <w:basedOn w:val="Fuentedeprrafopredeter"/>
    <w:uiPriority w:val="99"/>
    <w:semiHidden/>
    <w:unhideWhenUsed/>
    <w:rsid w:val="002426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556228">
      <w:bodyDiv w:val="1"/>
      <w:marLeft w:val="0"/>
      <w:marRight w:val="0"/>
      <w:marTop w:val="0"/>
      <w:marBottom w:val="0"/>
      <w:divBdr>
        <w:top w:val="none" w:sz="0" w:space="0" w:color="auto"/>
        <w:left w:val="none" w:sz="0" w:space="0" w:color="auto"/>
        <w:bottom w:val="none" w:sz="0" w:space="0" w:color="auto"/>
        <w:right w:val="none" w:sz="0" w:space="0" w:color="auto"/>
      </w:divBdr>
      <w:divsChild>
        <w:div w:id="1696614963">
          <w:marLeft w:val="0"/>
          <w:marRight w:val="0"/>
          <w:marTop w:val="0"/>
          <w:marBottom w:val="0"/>
          <w:divBdr>
            <w:top w:val="none" w:sz="0" w:space="0" w:color="auto"/>
            <w:left w:val="none" w:sz="0" w:space="0" w:color="auto"/>
            <w:bottom w:val="none" w:sz="0" w:space="0" w:color="auto"/>
            <w:right w:val="none" w:sz="0" w:space="0" w:color="auto"/>
          </w:divBdr>
          <w:divsChild>
            <w:div w:id="113790464">
              <w:marLeft w:val="-360"/>
              <w:marRight w:val="-360"/>
              <w:marTop w:val="0"/>
              <w:marBottom w:val="0"/>
              <w:divBdr>
                <w:top w:val="none" w:sz="0" w:space="0" w:color="auto"/>
                <w:left w:val="none" w:sz="0" w:space="0" w:color="auto"/>
                <w:bottom w:val="none" w:sz="0" w:space="0" w:color="auto"/>
                <w:right w:val="none" w:sz="0" w:space="0" w:color="auto"/>
              </w:divBdr>
              <w:divsChild>
                <w:div w:id="1835876193">
                  <w:marLeft w:val="0"/>
                  <w:marRight w:val="0"/>
                  <w:marTop w:val="0"/>
                  <w:marBottom w:val="0"/>
                  <w:divBdr>
                    <w:top w:val="none" w:sz="0" w:space="0" w:color="auto"/>
                    <w:left w:val="none" w:sz="0" w:space="0" w:color="auto"/>
                    <w:bottom w:val="none" w:sz="0" w:space="0" w:color="auto"/>
                    <w:right w:val="none" w:sz="0" w:space="0" w:color="auto"/>
                  </w:divBdr>
                  <w:divsChild>
                    <w:div w:id="112093044">
                      <w:marLeft w:val="0"/>
                      <w:marRight w:val="0"/>
                      <w:marTop w:val="0"/>
                      <w:marBottom w:val="0"/>
                      <w:divBdr>
                        <w:top w:val="none" w:sz="0" w:space="0" w:color="auto"/>
                        <w:left w:val="none" w:sz="0" w:space="0" w:color="auto"/>
                        <w:bottom w:val="none" w:sz="0" w:space="0" w:color="auto"/>
                        <w:right w:val="none" w:sz="0" w:space="0" w:color="auto"/>
                      </w:divBdr>
                      <w:divsChild>
                        <w:div w:id="849416764">
                          <w:marLeft w:val="0"/>
                          <w:marRight w:val="0"/>
                          <w:marTop w:val="0"/>
                          <w:marBottom w:val="285"/>
                          <w:divBdr>
                            <w:top w:val="none" w:sz="0" w:space="0" w:color="auto"/>
                            <w:left w:val="none" w:sz="0" w:space="0" w:color="auto"/>
                            <w:bottom w:val="none" w:sz="0" w:space="0" w:color="auto"/>
                            <w:right w:val="none" w:sz="0" w:space="0" w:color="auto"/>
                          </w:divBdr>
                          <w:divsChild>
                            <w:div w:id="4357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002295">
          <w:marLeft w:val="0"/>
          <w:marRight w:val="0"/>
          <w:marTop w:val="0"/>
          <w:marBottom w:val="0"/>
          <w:divBdr>
            <w:top w:val="none" w:sz="0" w:space="0" w:color="auto"/>
            <w:left w:val="none" w:sz="0" w:space="0" w:color="auto"/>
            <w:bottom w:val="none" w:sz="0" w:space="0" w:color="auto"/>
            <w:right w:val="none" w:sz="0" w:space="0" w:color="auto"/>
          </w:divBdr>
          <w:divsChild>
            <w:div w:id="603460132">
              <w:marLeft w:val="-360"/>
              <w:marRight w:val="-360"/>
              <w:marTop w:val="0"/>
              <w:marBottom w:val="0"/>
              <w:divBdr>
                <w:top w:val="none" w:sz="0" w:space="0" w:color="auto"/>
                <w:left w:val="none" w:sz="0" w:space="0" w:color="auto"/>
                <w:bottom w:val="none" w:sz="0" w:space="0" w:color="auto"/>
                <w:right w:val="none" w:sz="0" w:space="0" w:color="auto"/>
              </w:divBdr>
              <w:divsChild>
                <w:div w:id="128473939">
                  <w:marLeft w:val="0"/>
                  <w:marRight w:val="0"/>
                  <w:marTop w:val="0"/>
                  <w:marBottom w:val="0"/>
                  <w:divBdr>
                    <w:top w:val="none" w:sz="0" w:space="0" w:color="auto"/>
                    <w:left w:val="none" w:sz="0" w:space="0" w:color="auto"/>
                    <w:bottom w:val="none" w:sz="0" w:space="0" w:color="auto"/>
                    <w:right w:val="none" w:sz="0" w:space="0" w:color="auto"/>
                  </w:divBdr>
                  <w:divsChild>
                    <w:div w:id="1538741224">
                      <w:marLeft w:val="0"/>
                      <w:marRight w:val="0"/>
                      <w:marTop w:val="0"/>
                      <w:marBottom w:val="0"/>
                      <w:divBdr>
                        <w:top w:val="none" w:sz="0" w:space="0" w:color="auto"/>
                        <w:left w:val="none" w:sz="0" w:space="0" w:color="auto"/>
                        <w:bottom w:val="none" w:sz="0" w:space="0" w:color="auto"/>
                        <w:right w:val="none" w:sz="0" w:space="0" w:color="auto"/>
                      </w:divBdr>
                      <w:divsChild>
                        <w:div w:id="130902943">
                          <w:marLeft w:val="0"/>
                          <w:marRight w:val="0"/>
                          <w:marTop w:val="0"/>
                          <w:marBottom w:val="0"/>
                          <w:divBdr>
                            <w:top w:val="single" w:sz="2" w:space="0" w:color="DEDEDE"/>
                            <w:left w:val="single" w:sz="2" w:space="0" w:color="DEDEDE"/>
                            <w:bottom w:val="single" w:sz="2" w:space="0" w:color="DEDEDE"/>
                            <w:right w:val="single" w:sz="2" w:space="0" w:color="DEDEDE"/>
                          </w:divBdr>
                          <w:divsChild>
                            <w:div w:id="167528356">
                              <w:marLeft w:val="0"/>
                              <w:marRight w:val="0"/>
                              <w:marTop w:val="0"/>
                              <w:marBottom w:val="0"/>
                              <w:divBdr>
                                <w:top w:val="none" w:sz="0" w:space="0" w:color="auto"/>
                                <w:left w:val="none" w:sz="0" w:space="0" w:color="auto"/>
                                <w:bottom w:val="none" w:sz="0" w:space="0" w:color="auto"/>
                                <w:right w:val="none" w:sz="0" w:space="0" w:color="auto"/>
                              </w:divBdr>
                              <w:divsChild>
                                <w:div w:id="106004137">
                                  <w:marLeft w:val="0"/>
                                  <w:marRight w:val="0"/>
                                  <w:marTop w:val="0"/>
                                  <w:marBottom w:val="240"/>
                                  <w:divBdr>
                                    <w:top w:val="single" w:sz="6" w:space="8" w:color="AAAAAA"/>
                                    <w:left w:val="single" w:sz="6" w:space="8" w:color="AAAAAA"/>
                                    <w:bottom w:val="single" w:sz="6" w:space="8" w:color="AAAAAA"/>
                                    <w:right w:val="single" w:sz="6" w:space="15" w:color="AAAAAA"/>
                                  </w:divBdr>
                                  <w:divsChild>
                                    <w:div w:id="21193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s://telectronika.com/articulos/caracteristicas-de-antenas-de-microondas/" TargetMode="External"/><Relationship Id="rId12" Type="http://schemas.openxmlformats.org/officeDocument/2006/relationships/image" Target="media/image5.gif"/><Relationship Id="rId17" Type="http://schemas.openxmlformats.org/officeDocument/2006/relationships/hyperlink" Target="http://ieeexplore.ieee.org/stamp/stamp.jsp?tp=&amp;arnumber=4116787&amp;isnumber=4116786" TargetMode="Externa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electronika.com/herramientas/calculo-del-pire/" TargetMode="External"/><Relationship Id="rId11" Type="http://schemas.openxmlformats.org/officeDocument/2006/relationships/image" Target="media/image4.gif"/><Relationship Id="rId5" Type="http://schemas.openxmlformats.org/officeDocument/2006/relationships/hyperlink" Target="https://www.telectronika.com/herramientas/calculo-del-pire/" TargetMode="External"/><Relationship Id="rId15" Type="http://schemas.openxmlformats.org/officeDocument/2006/relationships/image" Target="media/image8.gif"/><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733</Words>
  <Characters>4036</Characters>
  <Application>Microsoft Office Word</Application>
  <DocSecurity>0</DocSecurity>
  <Lines>33</Lines>
  <Paragraphs>9</Paragraphs>
  <ScaleCrop>false</ScaleCrop>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LAVALLE</dc:creator>
  <cp:keywords/>
  <dc:description/>
  <cp:lastModifiedBy>MIGUEL ANGEL LAVALLE</cp:lastModifiedBy>
  <cp:revision>14</cp:revision>
  <dcterms:created xsi:type="dcterms:W3CDTF">2025-06-19T21:37:00Z</dcterms:created>
  <dcterms:modified xsi:type="dcterms:W3CDTF">2025-06-19T21:47:00Z</dcterms:modified>
</cp:coreProperties>
</file>